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BMI-ArbSchGAnwV</w:t>
      </w:r>
    </w:p>
    <w:p>
      <w:r>
        <w:rPr>
          <w:color w:val="555555"/>
          <w:sz w:val="18"/>
        </w:rPr>
        <w:t xml:space="preserve">Bundesministerium des Innern, für Bau und Heimat-Arbeitsschutzgesetzanwendungsverordnung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20 Abs. 2 Satz 1 bis 3 des Arbeitsschutzgesetzes vom 7. August 1996 (BGBl. I S. 1246) verordnet das Bundesministerium des Innern im Einvernehmen mit dem Bundesministerium für Arbeit und Sozialordnung:</w:t>
      </w:r>
    </w:p>
    <w:p>
      <w:r>
        <w:rPr>
          <w:color w:val="555555"/>
          <w:sz w:val="17"/>
        </w:rPr>
        <w:t xml:space="preserve">Zitiervorschlag: Eingangsformel BMI-ArbSchGAnwV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https://recht.nulegal.eu/gesetze/BMI-ArbSchGAnwV/eingangsformel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