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BMGBGebV — Übergangsvorschrift</w:t>
      </w:r>
    </w:p>
    <w:p>
      <w:r>
        <w:rPr>
          <w:color w:val="555555"/>
          <w:sz w:val="18"/>
        </w:rPr>
        <w:t xml:space="preserve">Besondere Gebührenverordnung BMG</w:t>
      </w:r>
    </w:p>
    <w:p>
      <w:r>
        <w:rPr>
          <w:color w:val="555555"/>
          <w:sz w:val="18"/>
        </w:rPr>
        <w:t xml:space="preserve">Stand: 19.07.2022 (konsolidierte Textfassung, kein amtliches Inkrafttretensdatum)</w:t>
      </w:r>
    </w:p>
    <w:p>
      <w:r>
        <w:t xml:space="preserve">(1) Für eine individuell zurechenbare öffentliche Leistung, die vor dem 1. Oktober 2021 beantragt oder begonnen, aber noch nicht vollständig erbracht wurde, sind die bis einschließlich zum 30. September 2021 geltenden gebührenrechtlichen Regelungen weiter anzuwenden. Soweit sich die gebührenerhebende Behörde unter Hinweis auf den bevorstehenden Erlass dieser Verordnung eine solche Gebührenfestsetzung ausdrücklich vorbehalten hat, können Gebühren und Auslagen nach Maßgabe dieser Verordnung erhoben werden.</w:t>
      </w:r>
    </w:p>
    <w:p>
      <w:r>
        <w:t xml:space="preserve">(2) Für eine individuell zurechenbare öffentliche Leistung, die vor dem Inkrafttreten einer Änderung dieser Verordnung beantragt oder begonnen, aber noch nicht vollständig erbracht wurde, können Gebühren und Auslagen nach Maßgabe der neuen gebührenrechtlichen Regelungen erhoben werden, soweit sich die gebührenerhebende Behörde unter Hinweis auf eine bevorstehende Änderung dieser Verordnung eine solche Gebührenfestsetzung ausdrücklich vorbehalten hat.</w:t>
      </w:r>
    </w:p>
    <w:p>
      <w:r>
        <w:rPr>
          <w:color w:val="555555"/>
          <w:sz w:val="17"/>
        </w:rPr>
        <w:t xml:space="preserve">Zitiervorschlag: § 4 BMGBGebV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https://recht.nulegal.eu/gesetze/BMGBGebV/4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