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BMG — Schutzwürdige Interessen der betroffenen Person</w:t>
      </w:r>
    </w:p>
    <w:p>
      <w:r>
        <w:rPr>
          <w:color w:val="555555"/>
          <w:sz w:val="18"/>
        </w:rPr>
        <w:t xml:space="preserve">Bundesmeldegesetz</w:t>
      </w:r>
    </w:p>
    <w:p>
      <w:r>
        <w:rPr>
          <w:color w:val="555555"/>
          <w:sz w:val="18"/>
        </w:rPr>
        <w:t xml:space="preserve">Stand: 02.12.2019 (konsolidierte Textfassung, kein amtliches Inkrafttretensdatum)</w:t>
      </w:r>
    </w:p>
    <w:p>
      <w:r>
        <w:t xml:space="preserve">Schutzwürdige Interessen der betroffenen Person dürfen durch die Verarbeitung personenbezogener Daten nicht beeinträchtigt werden. Schutzwürdige Interessen werden insbesondere beeinträchtigt, wenn die Verarbeitung, gemessen an ihrer Eignung und ihrer Erforderlichkeit zu dem vorgesehenen Zweck, die betroffene Person unverhältnismäßig belastet. Die Prüfung, ob schutzwürdige Interessen der betroffenen Person beeinträchtigt werden, entfällt, falls die Verarbeitung durch Rechtsvorschrift vorgeschrieben ist.</w:t>
      </w:r>
    </w:p>
    <w:p>
      <w:r>
        <w:rPr>
          <w:color w:val="555555"/>
          <w:sz w:val="17"/>
        </w:rPr>
        <w:t xml:space="preserve">Zitiervorschlag: § 8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