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BMG — Verordnungsermächtigungen</w:t>
      </w:r>
    </w:p>
    <w:p>
      <w:r>
        <w:rPr>
          <w:color w:val="555555"/>
          <w:sz w:val="18"/>
        </w:rPr>
        <w:t xml:space="preserve">Bundesmeldegesetz</w:t>
      </w:r>
    </w:p>
    <w:p>
      <w:r>
        <w:rPr>
          <w:color w:val="555555"/>
          <w:sz w:val="18"/>
        </w:rPr>
        <w:t xml:space="preserve">Stand: 28.07.2022 (konsolidierte Textfassung, kein amtliches Inkrafttretensdatum)</w:t>
      </w:r>
    </w:p>
    <w:p>
      <w:r>
        <w:t xml:space="preserve">(1) Das Bundesministerium des Innern, für Bau und Heimat wird ermächtigt, durch Rechtsverordnung mit Zustimmung des Bundesrates</w:t>
      </w:r>
    </w:p>
    <w:p>
      <w:pPr>
        <w:ind w:left="420"/>
      </w:pPr>
      <w:r>
        <w:t xml:space="preserve">1. zur Durchführung von Datenübermittlungen nach § 23 Absatz 2 und 3 sowie § 33 Absatz 1 bis 3, die zur Fortschreibung der Melderegister erforderlich sind, die zu übermittelnden Daten, ihre Form sowie das Nähere über das Verfahren der Übermittlung festzulegen,</w:t>
      </w:r>
    </w:p>
    <w:p>
      <w:pPr>
        <w:ind w:left="420"/>
      </w:pPr>
      <w:r>
        <w:t xml:space="preserve">2. zur Durchführung von regelmäßigen Datenübermittlungen nach § 36 Absatz 1, die zur Aufgabenerfüllung der datenempfangenden öffentlichen Stelle erforderlich sind, die zu übermittelnden Daten, ihre Form sowie das Nähere über das Verfahren der Übermittlung festzulegen,</w:t>
      </w:r>
    </w:p>
    <w:p>
      <w:pPr>
        <w:ind w:left="420"/>
      </w:pPr>
      <w:r>
        <w:t xml:space="preserve">3. zur Durchführung von automatisierten Abrufen nach den §§ 34a, 38 und 39 die Voraussetzungen, unter denen ein Datenabruf erfolgen darf, sowie die Form und den Inhalt der Daten festzulegen,</w:t>
      </w:r>
    </w:p>
    <w:p>
      <w:pPr>
        <w:ind w:left="420"/>
      </w:pPr>
      <w:r>
        <w:t xml:space="preserve">4. zur Durchführung von Datenübermittlungen zwischen Meldebehörden und einem Verwaltungsportal nach § 2 Absatz 2 des Onlinezugangsgesetzes vom 14. August 2017 (BGBl. I S. 3122, 3138), die zur Erbringung von elektronischen Verwaltungsleistungen nach diesem Gesetz erforderlich sind, die zu übermittelnden Daten, ihre Form sowie das Nähere über das Verfahren der Übermittlung festzulegen,</w:t>
      </w:r>
    </w:p>
    <w:p>
      <w:pPr>
        <w:ind w:left="420"/>
      </w:pPr>
      <w:r>
        <w:t xml:space="preserve">5. zur Durchführung von Melderegisterauskünften über Portale nach § 49 Absatz 3 die Voraussetzungen und das Verfahren zur Zulassung von Portalen zu regeln und</w:t>
      </w:r>
    </w:p>
    <w:p>
      <w:pPr>
        <w:ind w:left="420"/>
      </w:pPr>
      <w:r>
        <w:t xml:space="preserve">6. das Vertrauensniveau im Sinne des Artikels 8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festzulegen, das bei einer elektronischen Beantragung von Verwaltungsleistungen nach diesem Gesetz jeweils erforderlich ist.</w:t>
      </w:r>
    </w:p>
    <w:p>
      <w:r>
        <w:t xml:space="preserve">(2) Das Bundesministerium des Innern, für Bau und Heimat wird ermächtigt, durch Rechtsverordnung, die nicht der Zustimmung des Bundesrates bedarf, die Einzelheiten der elektronischen Speicherung nach § 29 Absatz 5 und § 30 Absatz 4, insbesondere die bei der Speicherung der Daten einzuhaltenden Datenformate, zu regeln. Es hat dabei die technischen und wirtschaftlichen Belange der nach § 30 Absatz 1 Satz 1 verpflichteten Beherbergungsstätten und Einrichtungen zu berücksichtigen.</w:t>
      </w:r>
    </w:p>
    <w:p>
      <w:r>
        <w:t xml:space="preserve">(3) Soweit in Rechtsverordnungen auf Grund dieses Gesetzes Form und Verfahren von Datenübermittlungen zu bestimmen sind, kann insoweit auf jedermann zugängliche Bekanntmachungen sachverständiger Stellen verwiesen werden. In der Rechtsverordnung sind das Datum der Bekanntmachung, die Fundstelle und die Bezugsquelle der Bekanntmachung anzugeben. Die Bekanntmachung ist beim Bundesarchiv niederzulegen; in der Rechtsverordnung ist darauf hinzuweisen.</w:t>
      </w:r>
    </w:p>
    <w:p>
      <w:r>
        <w:rPr>
          <w:color w:val="555555"/>
          <w:sz w:val="17"/>
        </w:rPr>
        <w:t xml:space="preserve">Zitiervorschlag: § 56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