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BMG — Regelungsbefugnisse der Länder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28.07.2022 (konsolidierte Textfassung, kein amtliches Inkrafttretensdatum)</w:t>
      </w:r>
    </w:p>
    <w:p>
      <w:r>
        <w:t xml:space="preserve">(1) Durch Landesrecht kann bestimmt werden, dass für die Erfüllung von Aufgaben der Länder weitere als die in § 3 aufgeführten Daten und Hinweise verarbeitet werden.</w:t>
      </w:r>
    </w:p>
    <w:p>
      <w:r>
        <w:t xml:space="preserve">(2) Durch Landesrecht kann bestimmt werden, dass den öffentlich-rechtlichen Religionsgesellschaften zur Erfüllung ihrer Aufgaben weitere als die in § 42 genannten Daten übermittelt werden dürfen.</w:t>
      </w:r>
    </w:p>
    <w:p>
      <w:r>
        <w:t xml:space="preserve">(3) Durch Landesrecht können die Einrichtung, die Führung und die Aufgaben von zentralen Meldedatenbeständen geregelt werden. In diesem Fall gelten die §§ 4, 5, 6 Absatz 2 Satz 1 und 2 sowie die §§ 7, 8, 10, 11 und 40 entsprechend.</w:t>
      </w:r>
    </w:p>
    <w:p>
      <w:r>
        <w:t xml:space="preserve">(4) Durch Landesrecht kann das Muster der Meldescheine für die Meldungen nach § 17 Absatz 1 und 2 Satz 1, der Meldebescheinigung nach § 18 Absatz 1, der Meldebestätigung nach § 24 Absatz 2 und der besonderen Meldescheine nach § 30 Absatz 1 bestimmt werden.</w:t>
      </w:r>
    </w:p>
    <w:p>
      <w:r>
        <w:t xml:space="preserve">(5) Durch Landesrecht können regelmäßige Datenübermittlungen nach § 36 Absatz 1 im Rahmen der Erfüllung von Aufgaben der Länder geregelt werden, soweit dadurch Anlass und Zweck der Übermittlung festgelegt und der Empfänger sowie die zu übermittelnden Daten bestimmt werden.</w:t>
      </w:r>
    </w:p>
    <w:p>
      <w:r>
        <w:t xml:space="preserve">(6) Durch Landesrecht kann die Übermittlung weiterer Daten und Hinweise nach § 34a Absatz 4 im Rahmen der Erfüllung von Aufgaben der Länder geregelt werden, soweit dadurch Anlass und Zweck der Übermittlung festgelegt und der Empfänger sowie die zu übermittelnden Daten bestimmt werden.</w:t>
      </w:r>
    </w:p>
    <w:p>
      <w:r>
        <w:t xml:space="preserve">(7) Durch Landesrecht kann bestimmt werden, welche weiteren Daten nach § 38 Absatz 3 im Rahmen der Erfüllung von Aufgaben der Länder als Auswahldaten für Abrufe zulässig sind, soweit dadurch Anlass und Zweck des Abrufs bestimmt werden.</w:t>
      </w:r>
    </w:p>
    <w:p>
      <w:r>
        <w:t xml:space="preserve">(8) Durch Landesrecht kann bestimmt werden, welche sonstigen Stellen nach § 39 Absatz 3 Daten zum Abruf anbieten. Sofern bestimmt wird, dass der Datenabruf innerhalb eines Landes abweichend von § 39 Absatz 3 über landesinterne Netze erfolgt, ist sicherzustellen, dass Maßnahmen nach den Artikeln 24, 25 und 32 der Verordnung (EU) 2016/679 getroffen werden.</w:t>
      </w:r>
    </w:p>
    <w:p>
      <w:r>
        <w:t xml:space="preserve">(9) Von den in § 33 Absatz 1 bis 3 und 6, § 34 Absatz 6 sowie in § 39 Absatz 3 getroffenen Regelungen und von den auf Grund von § 56 Absatz 1 getroffenen Regelungen des Verwaltungsverfahrens kann durch Landesrecht nicht abgewichen werden.</w:t>
      </w:r>
    </w:p>
    <w:p>
      <w:r>
        <w:rPr>
          <w:color w:val="555555"/>
          <w:sz w:val="17"/>
        </w:rPr>
        <w:t xml:space="preserve">Zitiervorschlag: § 55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