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BMG — Bußgeldvorschriften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Ordnungswidrig handelt, wer entgegen § 19 Absatz 6 eine Wohnanschrift anbietet oder zur Verfügung stellt.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17 Absatz 1, auch in Verbindung mit § 27 Absatz 2 Satz 2 oder § 28 Absatz 1 Satz 1 oder Satz 2, entgegen § 29 Absatz 1 Satz 2 oder Absatz 4 Satz 2 oder § 32 Absatz 1 Satz 2 sich nicht, nicht richtig oder nicht rechtzeitig anmeldet,</w:t>
      </w:r>
    </w:p>
    <w:p>
      <w:pPr>
        <w:ind w:left="420"/>
      </w:pPr>
      <w:r>
        <w:t xml:space="preserve">2. entgegen § 17 Absatz 2 Satz 1 sich nicht oder nicht rechtzeitig abmeldet,</w:t>
      </w:r>
    </w:p>
    <w:p>
      <w:pPr>
        <w:ind w:left="420"/>
      </w:pPr>
      <w:r>
        <w:t xml:space="preserve">3. entgegen § 19 Absatz 1 Satz 2 den Einzug nicht, nicht richtig oder nicht rechtzeitig bestätigt,</w:t>
      </w:r>
    </w:p>
    <w:p>
      <w:pPr>
        <w:ind w:left="420"/>
      </w:pPr>
      <w:r>
        <w:t xml:space="preserve">4. entgegen § 19 Absatz 1 Satz 5 eine Bestätigung ausstellt,</w:t>
      </w:r>
    </w:p>
    <w:p>
      <w:pPr>
        <w:ind w:left="420"/>
      </w:pPr>
      <w:r>
        <w:t xml:space="preserve">5. einer vollziehbaren Anordnung nach § 19 Absatz 5 oder § 25 oder § 28 Absatz 4 zuwiderhandelt,</w:t>
      </w:r>
    </w:p>
    <w:p>
      <w:pPr>
        <w:ind w:left="420"/>
      </w:pPr>
      <w:r>
        <w:t xml:space="preserve">6. entgegen § 21 Absatz 4 Satz 2 eine Mitteilung nicht, nicht richtig, nicht vollständig oder nicht rechtzeitig macht,</w:t>
      </w:r>
    </w:p>
    <w:p>
      <w:pPr>
        <w:ind w:left="420"/>
      </w:pPr>
      <w:r>
        <w:t xml:space="preserve">7. entgegen § 29 Absatz 2 Satz 1 einen besonderen Meldeschein nicht oder nicht rechtzeitig unterschreibt,</w:t>
      </w:r>
    </w:p>
    <w:p>
      <w:pPr>
        <w:ind w:left="420"/>
      </w:pPr>
      <w:r>
        <w:t xml:space="preserve">8. entgegen § 30 Absatz 1 Satz 1 einen besonderen Meldeschein nicht bereithält,</w:t>
      </w:r>
    </w:p>
    <w:p>
      <w:pPr>
        <w:ind w:left="420"/>
      </w:pPr>
      <w:r>
        <w:t xml:space="preserve">9. entgegen § 30 Absatz 4 Satz 1, auch in Verbindung mit Satz 2, einen Meldeschein nicht oder nicht mindestens ein Jahr aufbewahrt oder Daten nicht oder nicht mindestens ein Jahr speichert,</w:t>
      </w:r>
    </w:p>
    <w:p>
      <w:pPr>
        <w:ind w:left="420"/>
      </w:pPr>
      <w:r>
        <w:t xml:space="preserve">10. entgegen § 30 Absatz 4 Satz 3 einen Meldeschein nicht oder nicht rechtzeitig vorlegt oder Daten nicht oder nicht rechtzeitig zur Verfügung stellt,</w:t>
      </w:r>
    </w:p>
    <w:p>
      <w:r>
        <w:t xml:space="preserve">(3) Die Ordnungswidrigkeit kann in den Fällen des Absatzes 1 mit einer Geldbuße bis zu fünfzigtausend Euro und in den übrigen Fällen mit einer Geldbuße bis zu tausend Euro geahndet werden.</w:t>
      </w:r>
    </w:p>
    <w:p>
      <w:r>
        <w:rPr>
          <w:color w:val="555555"/>
          <w:sz w:val="17"/>
        </w:rPr>
        <w:t xml:space="preserve">Zitiervorschlag: § 54 BMG</w:t>
      </w:r>
    </w:p>
    <w:p>
      <w:r>
        <w:rPr>
          <w:color w:val="555555"/>
          <w:sz w:val="17"/>
        </w:rPr>
        <w:t xml:space="preserve">Quelle: Bundesamt für Justiz, abgerufen 10.07.2026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