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 BMG — Melderegisterauskünfte in besonderen Fällen</w:t>
      </w:r>
    </w:p>
    <w:p>
      <w:r>
        <w:rPr>
          <w:color w:val="555555"/>
          <w:sz w:val="18"/>
        </w:rPr>
        <w:t xml:space="preserve">Bundesmeldegesetz</w:t>
      </w:r>
    </w:p>
    <w:p>
      <w:r>
        <w:rPr>
          <w:color w:val="555555"/>
          <w:sz w:val="18"/>
        </w:rPr>
        <w:t xml:space="preserve">Stand: 10.07.2026 (konsolidierte Textfassung, kein amtliches Inkrafttretensdatum)</w:t>
      </w:r>
    </w:p>
    <w:p>
      <w:r>
        <w:t xml:space="preserve">(1) Die Meldebehörde darf Parteien, Wählergruppen und anderen Trägern von Wahlvorschlägen im Zusammenhang mit Wahlen und Abstimmungen auf staatlicher und kommunaler Ebene in den sechs der Wahl oder Abstimmung vorangehenden Monaten Auskunft aus dem Melderegister über die in § 44 Absatz 1 Satz 1 bezeichneten Daten von Gruppen von Wahlberechtigten erteilen, soweit für deren Zusammensetzung das Lebensalter bestimmend ist. Die Geburtsdaten der Wahlberechtigten dürfen dabei nicht mitgeteilt werden. Die Person oder Stelle, der die Daten übermittelt werden, darf diese nur für die Werbung bei einer Wahl oder Abstimmung verwenden und hat sie spätestens einen Monat nach der Wahl oder Abstimmung zu löschen oder zu vernichten.</w:t>
      </w:r>
    </w:p>
    <w:p>
      <w:r>
        <w:t xml:space="preserve">(2) Verlangen Mandatsträger, Presse oder Rundfunk Auskunft aus dem Melderegister über Alters- oder Ehejubiläen von Einwohnern, darf die Meldebehörde Auskunft erteilen über</w:t>
      </w:r>
    </w:p>
    <w:p>
      <w:pPr>
        <w:ind w:left="420"/>
      </w:pPr>
      <w:r>
        <w:t xml:space="preserve">1. Familienname,</w:t>
      </w:r>
    </w:p>
    <w:p>
      <w:pPr>
        <w:ind w:left="420"/>
      </w:pPr>
      <w:r>
        <w:t xml:space="preserve">2. Vornamen,</w:t>
      </w:r>
    </w:p>
    <w:p>
      <w:pPr>
        <w:ind w:left="420"/>
      </w:pPr>
      <w:r>
        <w:t xml:space="preserve">3. Doktorgrad,</w:t>
      </w:r>
    </w:p>
    <w:p>
      <w:pPr>
        <w:ind w:left="420"/>
      </w:pPr>
      <w:r>
        <w:t xml:space="preserve">4. Anschrift sowie</w:t>
      </w:r>
    </w:p>
    <w:p>
      <w:pPr>
        <w:ind w:left="420"/>
      </w:pPr>
      <w:r>
        <w:t xml:space="preserve">5. Datum und Art des Jubiläums.</w:t>
      </w:r>
    </w:p>
    <w:p>
      <w:r>
        <w:t xml:space="preserve">Altersjubiläen im Sinne des Satzes 1 sind der 70. Geburtstag, jeder fünfte weitere Geburtstag und ab dem 100. Geburtstag jeder folgende Geburtstag; Ehejubiläen sind das 50. und jedes folgende Ehejubiläum.</w:t>
      </w:r>
    </w:p>
    <w:p>
      <w:r>
        <w:t xml:space="preserve">(3) (weggefallen)</w:t>
      </w:r>
    </w:p>
    <w:p>
      <w:r>
        <w:t xml:space="preserve">(4) Die Meldebehörde hat dem Eigentümer der Wohnung und, wenn er nicht selbst Wohnungsgeber ist, auch dem Wohnungsgeber bei Glaubhaftmachung eines rechtlichen Interesses unentgeltlich Auskunft über Familiennamen und Vornamen sowie Doktorgrad der in seiner Wohnung gemeldeten Einwohner zu erteilen. Die Auskunft kann auf Antrag des Auskunftsberechtigten im elektronischen Verfahren erteilt werden; § 10 Absatz 2 und 3 gilt entsprechend.</w:t>
      </w:r>
    </w:p>
    <w:p>
      <w:r>
        <w:t xml:space="preserve">(5) Die betroffene Person hat das Recht, der Übermittlung ihrer Daten nach den Absätzen 1 und 2 zu widersprechen; hierauf ist bei der Anmeldung nach § 17 Absatz 1 sowie einmal jährlich durch ortsübliche Bekanntmachung hinzuweisen. Bei einem Widerspruch hat die betroffene Person gegenüber der Meldebehörde ein Recht auf unentgeltliche Einrichtung einer Übermittlungssperre.</w:t>
      </w:r>
    </w:p>
    <w:p>
      <w:r>
        <w:t xml:space="preserve">(6) Eine Erteilung von Auskünften nach den Absätzen 1 und 2 unterbleibt, wenn eine Auskunftssperre nach § 51 vorliegt.</w:t>
      </w:r>
    </w:p>
    <w:p>
      <w:r>
        <w:rPr>
          <w:color w:val="555555"/>
          <w:sz w:val="17"/>
        </w:rPr>
        <w:t xml:space="preserve">Zitiervorschlag: § 50 BMG</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