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BMG — Zweckbindung der Melderegisterauskunft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Melderegisterauskünften nach § 44 zu gewerblichen Zwecken und bei Melderegisterauskünften nach den §§ 45 und 46 sowie bei Vorliegen einer Auskunftssperre nach § 51 Absatz 1 darf der Empfänger die Daten nur für die Zwecke verwenden, zu deren Erfüllung sie ihm übermittelt wurden. Danach sind die Daten zu löschen.</w:t>
      </w:r>
    </w:p>
    <w:p>
      <w:r>
        <w:t xml:space="preserve">(2) Soweit Daten zum Zwecke der geschäftsmäßigen Anschriftenermittlung für Dritte erhoben werden, dürfen diese nicht wiederverwendet werden.</w:t>
      </w:r>
    </w:p>
    <w:p>
      <w:r>
        <w:rPr>
          <w:color w:val="555555"/>
          <w:sz w:val="17"/>
        </w:rPr>
        <w:t xml:space="preserve">Zitiervorschlag: § 47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