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44 BMG — Einfache Melderegisterauskunft</w:t>
      </w:r>
    </w:p>
    <w:p>
      <w:r>
        <w:rPr>
          <w:color w:val="555555"/>
          <w:sz w:val="18"/>
        </w:rPr>
        <w:t xml:space="preserve">Bundesmeldegesetz</w:t>
      </w:r>
    </w:p>
    <w:p>
      <w:r>
        <w:rPr>
          <w:color w:val="555555"/>
          <w:sz w:val="18"/>
        </w:rPr>
        <w:t xml:space="preserve">Stand: 02.12.2019 (konsolidierte Textfassung, kein amtliches Inkrafttretensdatum)</w:t>
      </w:r>
    </w:p>
    <w:p>
      <w:r>
        <w:t xml:space="preserve">(1) Wenn eine Person zu einer anderen Person oder wenn eine andere als die in § 34 Absatz 1 Satz 1 oder § 35 bezeichnete Stelle Auskunft verlangt, darf die Meldebehörde nur Auskunft über folgende Daten einzelner bestimmter Personen erteilen (einfache Melderegisterauskunft):</w:t>
      </w:r>
    </w:p>
    <w:p>
      <w:pPr>
        <w:ind w:left="420"/>
      </w:pPr>
      <w:r>
        <w:t xml:space="preserve">1. Familienname,</w:t>
      </w:r>
    </w:p>
    <w:p>
      <w:pPr>
        <w:ind w:left="420"/>
      </w:pPr>
      <w:r>
        <w:t xml:space="preserve">2. Vornamen unter Kennzeichnung des gebräuchlichen Vornamens,</w:t>
      </w:r>
    </w:p>
    <w:p>
      <w:pPr>
        <w:ind w:left="420"/>
      </w:pPr>
      <w:r>
        <w:t xml:space="preserve">3. Doktorgrad und</w:t>
      </w:r>
    </w:p>
    <w:p>
      <w:pPr>
        <w:ind w:left="420"/>
      </w:pPr>
      <w:r>
        <w:t xml:space="preserve">4. derzeitige Anschriften sowie,</w:t>
      </w:r>
    </w:p>
    <w:p>
      <w:pPr>
        <w:ind w:left="420"/>
      </w:pPr>
      <w:r>
        <w:t xml:space="preserve">5. sofern die Person verstorben ist, diese Tatsache.</w:t>
      </w:r>
    </w:p>
    <w:p>
      <w:r>
        <w:t xml:space="preserve">Sofern die Daten für gewerbliche Zwecke verwendet werden, sind diese anzugeben.</w:t>
      </w:r>
    </w:p>
    <w:p>
      <w:r>
        <w:t xml:space="preserve">(2) Absatz 1 gilt auch, wenn Auskunft über Daten einer Vielzahl von Personen verlangt wird.</w:t>
      </w:r>
    </w:p>
    <w:p>
      <w:r>
        <w:t xml:space="preserve">(3) Die Erteilung einer einfachen Melderegisterauskunft ist nur zulässig, wenn</w:t>
      </w:r>
    </w:p>
    <w:p>
      <w:pPr>
        <w:ind w:left="420"/>
      </w:pPr>
      <w:r>
        <w:t xml:space="preserve">1. die Identität der Person, über die eine Auskunft begehrt wird, eindeutig festgestellt werden kann auf Grund der in der Anfrage mitgeteilten Angaben über</w:t>
      </w:r>
    </w:p>
    <w:p>
      <w:pPr>
        <w:ind w:left="780"/>
      </w:pPr>
      <w:r>
        <w:t xml:space="preserve">a) den Familiennamen,</w:t>
      </w:r>
    </w:p>
    <w:p>
      <w:pPr>
        <w:ind w:left="780"/>
      </w:pPr>
      <w:r>
        <w:t xml:space="preserve">b) den früheren Namen,</w:t>
      </w:r>
    </w:p>
    <w:p>
      <w:pPr>
        <w:ind w:left="780"/>
      </w:pPr>
      <w:r>
        <w:t xml:space="preserve">c) die Vornamen,</w:t>
      </w:r>
    </w:p>
    <w:p>
      <w:pPr>
        <w:ind w:left="780"/>
      </w:pPr>
      <w:r>
        <w:t xml:space="preserve">d) das Geburtsdatum,</w:t>
      </w:r>
    </w:p>
    <w:p>
      <w:pPr>
        <w:ind w:left="780"/>
      </w:pPr>
      <w:r>
        <w:t xml:space="preserve">e) das Geschlecht oder</w:t>
      </w:r>
    </w:p>
    <w:p>
      <w:pPr>
        <w:ind w:left="780"/>
      </w:pPr>
      <w:r>
        <w:t xml:space="preserve">f) eine Anschrift und</w:t>
      </w:r>
    </w:p>
    <w:p>
      <w:pPr>
        <w:ind w:left="420"/>
      </w:pPr>
      <w:r>
        <w:t xml:space="preserve">2. die Daten nicht für Zwecke der Werbung oder des Adresshandels verwendet werden und die Auskunft verlangende Person oder Stelle dies erklärt.</w:t>
      </w:r>
    </w:p>
    <w:p>
      <w:r>
        <w:t xml:space="preserve">(4) Es ist verboten, Daten aus einer Melderegisterauskunft gewerblich zu verwenden, ohne dass ein Zweck nach Absatz 1 Satz 2 bei der Anfrage angegeben wurde.</w:t>
      </w:r>
    </w:p>
    <w:p>
      <w:r>
        <w:t xml:space="preserve">(5) § 45 Absatz 2 gilt entsprechend.</w:t>
      </w:r>
    </w:p>
    <w:p>
      <w:r>
        <w:rPr>
          <w:color w:val="555555"/>
          <w:sz w:val="17"/>
        </w:rPr>
        <w:t xml:space="preserve">Zitiervorschlag: § 44 BMG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https://recht.nulegal.eu/gesetze/BMG/44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