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BMG — Datenübermittlungen an öffentlich-rechtliche Religionsgesellschaften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Meldebehörde darf einer öffentlich-rechtlichen Religionsgesellschaft unter den in § 34 Absatz 1 Satz 1 genannten Voraussetzungen zur Erfüllung ihrer Aufgaben, nicht jedoch zu arbeitsrechtlichen Zwecken folgende Daten ihrer Mitglieder auch regelmäßig übermitteln: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frühere Namen,</w:t>
      </w:r>
    </w:p>
    <w:p>
      <w:pPr>
        <w:ind w:left="420"/>
      </w:pPr>
      <w:r>
        <w:t xml:space="preserve">3. Vornamen unter Kennzeichnung des gebräuchlichen Vornamens,</w:t>
      </w:r>
    </w:p>
    <w:p>
      <w:pPr>
        <w:ind w:left="420"/>
      </w:pPr>
      <w:r>
        <w:t xml:space="preserve">4. Doktorgrad,</w:t>
      </w:r>
    </w:p>
    <w:p>
      <w:pPr>
        <w:ind w:left="420"/>
      </w:pPr>
      <w:r>
        <w:t xml:space="preserve">5. Ordensname, Künstlername,</w:t>
      </w:r>
    </w:p>
    <w:p>
      <w:pPr>
        <w:ind w:left="420"/>
      </w:pPr>
      <w:r>
        <w:t xml:space="preserve">6. Geburtsdatum und Geburtsort sowie bei Geburt im Ausland auch den Staat,</w:t>
      </w:r>
    </w:p>
    <w:p>
      <w:pPr>
        <w:ind w:left="420"/>
      </w:pPr>
      <w:r>
        <w:t xml:space="preserve">7. zum gesetzlichen Vertreter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Vornamen,</w:t>
      </w:r>
    </w:p>
    <w:p>
      <w:pPr>
        <w:ind w:left="780"/>
      </w:pPr>
      <w:r>
        <w:t xml:space="preserve">c) Doktorgrad,</w:t>
      </w:r>
    </w:p>
    <w:p>
      <w:pPr>
        <w:ind w:left="780"/>
      </w:pPr>
      <w:r>
        <w:t xml:space="preserve">d) Anschrift,</w:t>
      </w:r>
    </w:p>
    <w:p>
      <w:pPr>
        <w:ind w:left="780"/>
      </w:pPr>
      <w:r>
        <w:t xml:space="preserve">e) Geburtsdatum,</w:t>
      </w:r>
    </w:p>
    <w:p>
      <w:pPr>
        <w:ind w:left="780"/>
      </w:pPr>
      <w:r>
        <w:t xml:space="preserve">f) Geschlecht,</w:t>
      </w:r>
    </w:p>
    <w:p>
      <w:pPr>
        <w:ind w:left="780"/>
      </w:pPr>
      <w:r>
        <w:t xml:space="preserve">g) Sterbedatum sowie</w:t>
      </w:r>
    </w:p>
    <w:p>
      <w:pPr>
        <w:ind w:left="780"/>
      </w:pPr>
      <w:r>
        <w:t xml:space="preserve">h) Auskunftssperren nach § 51 und bedingte Sperrvermerke nach § 52,</w:t>
      </w:r>
    </w:p>
    <w:p>
      <w:pPr>
        <w:ind w:left="420"/>
      </w:pPr>
      <w:r>
        <w:t xml:space="preserve">8. Geschlecht,</w:t>
      </w:r>
    </w:p>
    <w:p>
      <w:pPr>
        <w:ind w:left="420"/>
      </w:pPr>
      <w:r>
        <w:t xml:space="preserve">9. derzeitige Staatsangehörigkeiten,</w:t>
      </w:r>
    </w:p>
    <w:p>
      <w:pPr>
        <w:ind w:left="420"/>
      </w:pPr>
      <w:r>
        <w:t xml:space="preserve">10. rechtliche Zugehörigkeit zu der öffentlich-rechtlichen Religionsgesellschaft,</w:t>
      </w:r>
    </w:p>
    <w:p>
      <w:pPr>
        <w:ind w:left="420"/>
      </w:pPr>
      <w:r>
        <w:t xml:space="preserve">11. derzeitige Anschriften, gekennzeichnet nach Haupt- und Nebenwohnung, die letzte frühere Anschrift, bei Zuzug aus dem Ausland die letzte Anschrift im Inland, bei Wegzug in das Ausland auch die Zuzugsanschrift im Ausland und den Staat,</w:t>
      </w:r>
    </w:p>
    <w:p>
      <w:pPr>
        <w:ind w:left="420"/>
      </w:pPr>
      <w:r>
        <w:t xml:space="preserve">12. Einzugsdatum und Auszugsdatum,</w:t>
      </w:r>
    </w:p>
    <w:p>
      <w:pPr>
        <w:ind w:left="420"/>
      </w:pPr>
      <w:r>
        <w:t xml:space="preserve">13. Familienstand beschränkt auf die Angabe, ob verheiratet oder eine Lebenspartnerschaft führend oder nicht; zusätzlich bei Verheirateten oder Lebenspartnern: Datum, Ort und Staat der Eheschließung oder der Begründung der Lebenspartnerschaft,</w:t>
      </w:r>
    </w:p>
    <w:p>
      <w:pPr>
        <w:ind w:left="420"/>
      </w:pPr>
      <w:r>
        <w:t xml:space="preserve">14. Zahl der minderjährigen Kinder,</w:t>
      </w:r>
    </w:p>
    <w:p>
      <w:pPr>
        <w:ind w:left="420"/>
      </w:pPr>
      <w:r>
        <w:t xml:space="preserve">15. Auskunftssperren nach § 51 und bedingte Sperrvermerke nach § 52 sowie</w:t>
      </w:r>
    </w:p>
    <w:p>
      <w:pPr>
        <w:ind w:left="420"/>
      </w:pPr>
      <w:r>
        <w:t xml:space="preserve">16. Sterbedatum und Sterbeort sowie bei Versterben im Ausland auch den Staat.</w:t>
      </w:r>
    </w:p>
    <w:p>
      <w:r>
        <w:t xml:space="preserve">(2) Haben Mitglieder einer öffentlich-rechtlichen Religionsgesellschaft Familienangehörige, darf die Meldebehörde von diesen Familienangehörigen folgende Daten übermitteln:</w:t>
      </w:r>
    </w:p>
    <w:p>
      <w:pPr>
        <w:ind w:left="420"/>
      </w:pPr>
      <w:r>
        <w:t xml:space="preserve">1. Familiennamen,</w:t>
      </w:r>
    </w:p>
    <w:p>
      <w:pPr>
        <w:ind w:left="420"/>
      </w:pPr>
      <w:r>
        <w:t xml:space="preserve">2. frühere Namen,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Geburtsdatum und Geburtsort,</w:t>
      </w:r>
    </w:p>
    <w:p>
      <w:pPr>
        <w:ind w:left="420"/>
      </w:pPr>
      <w:r>
        <w:t xml:space="preserve">5. Geschlecht,</w:t>
      </w:r>
    </w:p>
    <w:p>
      <w:pPr>
        <w:ind w:left="420"/>
      </w:pPr>
      <w:r>
        <w:t xml:space="preserve">6. Zugehörigkeit zu einer öffentlich-rechtlichen Religionsgesellschaft,</w:t>
      </w:r>
    </w:p>
    <w:p>
      <w:pPr>
        <w:ind w:left="420"/>
      </w:pPr>
      <w:r>
        <w:t xml:space="preserve">7. derzeitige Anschriften, gekennzeichnet nach Haupt- und Nebenwohnung, und letzte frühere Anschrift,</w:t>
      </w:r>
    </w:p>
    <w:p>
      <w:pPr>
        <w:ind w:left="420"/>
      </w:pPr>
      <w:r>
        <w:t xml:space="preserve">8. Auskunftssperren nach § 51 und bedingte Sperrvermerke nach § 52 sowie</w:t>
      </w:r>
    </w:p>
    <w:p>
      <w:pPr>
        <w:ind w:left="420"/>
      </w:pPr>
      <w:r>
        <w:t xml:space="preserve">9. Sterbedatum.</w:t>
      </w:r>
    </w:p>
    <w:p>
      <w:r>
        <w:t xml:space="preserve">(3) Familienangehörige im Sinne des Absatzes 2 sind der Ehegatte oder Lebenspartner, minderjährige Kinder und die Eltern von minderjährigen Kindern. Familienangehörige, die nicht derselben oder keiner öffentlich-rechtlichen Religionsgesellschaft angehören, haben das Recht, der Übermittlung ihrer Daten zu widersprechen; sie sind auf dieses Recht bei der Anmeldung nach § 17 Absatz 1 sowie einmal jährlich durch ortsübliche Bekanntmachung hinzuweisen. Bei einem Widerspruch hat die betroffene Person gegenüber der Meldebehörde ein Recht auf unentgeltliche Einrichtung einer Übermittlungssperre. Satz 2 gilt nicht, soweit Daten für Zwecke des Steuererhebungsrechts der jeweiligen öffentlich-rechtlichen Religionsgesellschaft übermittelt werden.</w:t>
      </w:r>
    </w:p>
    <w:p>
      <w:r>
        <w:t xml:space="preserve">(4) Für Datenübermittlungen nach den Absätzen 1 und 2 gilt § 34 Absatz 5 entsprechend.</w:t>
      </w:r>
    </w:p>
    <w:p>
      <w:r>
        <w:t xml:space="preserve">(4a) Die Meldebehörden dürfen den öffentlich-rechtlichen Religionsgesellschaften jeweils zu Beginn einer standardisierten Datenübermittlung zu einem bundesweit einheitlichen Stichtag die in den Absätzen 1 und 2 genannten sowie die gemäß § 55 Absatz 2 durch Landesrecht bestimmten Daten innerhalb von längstens zwölf Monaten automatisiert übermitteln, um einen einmaligen Abgleich zum Zwecke der Bestands- und Ersterfassung und darauf aufbauende Folgedatenübermittlungen zu ermöglichen. Dabei sind auch Widersprüche nach § 42 Absatz 3 Satz 2 zu übermitteln. Der jeweilige Stichtag wird vom Bundesministerium des Innern, für Bau und Heimat im Bundesanzeiger bekannt gegeben.</w:t>
      </w:r>
    </w:p>
    <w:p>
      <w:r>
        <w:t xml:space="preserve">(5) Eine Datenübermittlung nach den Absätzen 1 und 2 ist nur zulässig, wenn sichergestellt ist, dass beim Empfänger ausreichende Maßnahmen zum Datenschutz getroffen sind. Die Feststellung hierüber trifft eine durch Landesrecht zu bestimmende Behörde.</w:t>
      </w:r>
    </w:p>
    <w:p>
      <w:r>
        <w:rPr>
          <w:color w:val="555555"/>
          <w:sz w:val="17"/>
        </w:rPr>
        <w:t xml:space="preserve">Zitiervorschlag: § 42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