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BMG — Zweckbindung übermittelter Daten und Hinweise</w:t>
      </w:r>
    </w:p>
    <w:p>
      <w:r>
        <w:rPr>
          <w:color w:val="555555"/>
          <w:sz w:val="18"/>
        </w:rPr>
        <w:t xml:space="preserve">Bundesmeldegesetz</w:t>
      </w:r>
    </w:p>
    <w:p>
      <w:r>
        <w:rPr>
          <w:color w:val="555555"/>
          <w:sz w:val="18"/>
        </w:rPr>
        <w:t xml:space="preserve">Stand: 02.12.2019 (konsolidierte Textfassung, kein amtliches Inkrafttretensdatum)</w:t>
      </w:r>
    </w:p>
    <w:p>
      <w:r>
        <w:t xml:space="preserve">Die Empfänger dürfen die Daten und Hinweise, soweit gesetzlich nichts anderes bestimmt ist, nur für die Zwecke verarbeiten, zu deren Erfüllung sie ihnen übermittelt oder weitergegeben wurden. In den Fällen der §§ 51 und 52 ist eine Verarbeitung der übermittelten oder weitergegebenen Daten und Hinweise nur zulässig, wenn die Beeinträchtigung schutzwürdiger Interessen der betroffenen Person ausgeschlossen werden kann.</w:t>
      </w:r>
    </w:p>
    <w:p>
      <w:r>
        <w:rPr>
          <w:color w:val="555555"/>
          <w:sz w:val="17"/>
        </w:rPr>
        <w:t xml:space="preserve">Zitiervorschlag: § 41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