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BMG — Datenweitergabe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Innerhalb der Verwaltungseinheit, der die Meldebehörde angehört, dürfen unter den in § 34 Absatz 1 genannten Voraussetzungen sämtliche der in § 3 Absatz 1 aufgeführten Daten und Hinweise weitergegeben werden. Für die Einsichtnahme und Weitergabe von Daten und Hinweisen nach § 3 Absatz 2 gilt § 34 Absatz 3 entsprechend.</w:t>
      </w:r>
    </w:p>
    <w:p>
      <w:r>
        <w:t xml:space="preserve">(2) Die Einrichtung automatisierter Verfahren zur Datenübertragung an andere Stellen innerhalb der Verwaltungseinheit, der die Meldebehörde angehört, bedarf der Zulassung durch den Leiter der Verwaltungseinheit; dabei hat er die abrufberechtigten Stellen sowie die erforderlichen technischen und organisatorischen Maßnahmen nach den Artikeln 24, 25 und 32 der Verordnung (EU) 2016/679 schriftlich festzulegen. Die abrufberechtigte Stelle darf von der Möglichkeit des Datenabrufs nur Gebrauch machen, wenn dies im Einzelfall zur Erfüllung ihrer Aufgaben erforderlich ist. § 34a Absatz 5 gilt entsprechend.</w:t>
      </w:r>
    </w:p>
    <w:p>
      <w:r>
        <w:rPr>
          <w:color w:val="555555"/>
          <w:sz w:val="17"/>
        </w:rPr>
        <w:t xml:space="preserve">Zitiervorschlag: § 37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