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35 BMG — Datenübermittlungen an ausländische Stellen</w:t>
      </w:r>
    </w:p>
    <w:p>
      <w:r>
        <w:rPr>
          <w:color w:val="555555"/>
          <w:sz w:val="18"/>
        </w:rPr>
        <w:t xml:space="preserve">Bundesmeldegesetz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Rahmen von Tätigkeiten, die ganz oder teilweise in den Anwendungsbereich des Rechts der Europäischen Union fallen, gilt § 34 Absatz 1 Satz 1 nach Maßgabe der dafür geltenden Gesetze und Vereinbarungen, wenn Daten übermittelt werden an</w:t>
      </w:r>
    </w:p>
    <w:p>
      <w:pPr>
        <w:ind w:left="420"/>
      </w:pPr>
      <w:r>
        <w:t xml:space="preserve">1. öffentliche Stellen in anderen Mitgliedstaaten der Europäischen Union,</w:t>
      </w:r>
    </w:p>
    <w:p>
      <w:pPr>
        <w:ind w:left="420"/>
      </w:pPr>
      <w:r>
        <w:t xml:space="preserve">2. öffentliche Stellen in anderen Vertragsstaaten des Abkommens über den Europäischen Wirtschaftsraum,</w:t>
      </w:r>
    </w:p>
    <w:p>
      <w:pPr>
        <w:ind w:left="420"/>
      </w:pPr>
      <w:r>
        <w:t xml:space="preserve">3. Organe und Einrichtungen der Europäischen Union oder</w:t>
      </w:r>
    </w:p>
    <w:p>
      <w:pPr>
        <w:ind w:left="420"/>
      </w:pPr>
      <w:r>
        <w:t xml:space="preserve">4. Organe und Einrichtungen der Europäischen Atomgemeinschaft.</w:t>
      </w:r>
    </w:p>
    <w:p>
      <w:r>
        <w:rPr>
          <w:color w:val="555555"/>
          <w:sz w:val="17"/>
        </w:rPr>
        <w:t xml:space="preserve">Zitiervorschlag: § 35 BMG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https://recht.nulegal.eu/gesetze/BMG/35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