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BMG — Datenübermittlungen an andere öffentliche Stellen</w:t>
      </w:r>
    </w:p>
    <w:p>
      <w:r>
        <w:rPr>
          <w:color w:val="555555"/>
          <w:sz w:val="18"/>
        </w:rPr>
        <w:t xml:space="preserve">Bundesmeldegesetz</w:t>
      </w:r>
    </w:p>
    <w:p>
      <w:r>
        <w:rPr>
          <w:color w:val="555555"/>
          <w:sz w:val="18"/>
        </w:rPr>
        <w:t xml:space="preserve">Stand: 27.06.2024 (konsolidierte Textfassung, kein amtliches Inkrafttretensdatum)</w:t>
      </w:r>
    </w:p>
    <w:p>
      <w:r>
        <w:t xml:space="preserve">(1) Die Meldebehörde darf einer anderen öffentlichen Stelle im Sinne von § 2 Absatz 1 bis 3 und 4 Satz 2 des Bundesdatenschutzgesetzes im Inland aus dem Melderegister folgende Daten übermitteln, soweit dies zur Erfüllung einer öffentlichen Aufgabe erforderlich ist, die in ihrer Zuständigkeit oder in der Zuständigkeit des Empfängers liegt:</w:t>
      </w:r>
    </w:p>
    <w:p>
      <w:pPr>
        <w:ind w:left="420"/>
      </w:pPr>
      <w:r>
        <w:t xml:space="preserve">1. Familienname,</w:t>
      </w:r>
    </w:p>
    <w:p>
      <w:pPr>
        <w:ind w:left="420"/>
      </w:pPr>
      <w:r>
        <w:t xml:space="preserve">2. frühere Namen,</w:t>
      </w:r>
    </w:p>
    <w:p>
      <w:pPr>
        <w:ind w:left="420"/>
      </w:pPr>
      <w:r>
        <w:t xml:space="preserve">3. Vornamen unter Kennzeichnung des gebräuchlichen Vornamens,</w:t>
      </w:r>
    </w:p>
    <w:p>
      <w:pPr>
        <w:ind w:left="420"/>
      </w:pPr>
      <w:r>
        <w:t xml:space="preserve">4. Doktorgrad,</w:t>
      </w:r>
    </w:p>
    <w:p>
      <w:pPr>
        <w:ind w:left="420"/>
      </w:pPr>
      <w:r>
        <w:t xml:space="preserve">5. Ordensname, Künstlername,</w:t>
      </w:r>
    </w:p>
    <w:p>
      <w:pPr>
        <w:ind w:left="420"/>
      </w:pPr>
      <w:r>
        <w:t xml:space="preserve">6. Geburtsdatum und Geburtsort sowie bei Geburt im Ausland auch den Staat,</w:t>
      </w:r>
    </w:p>
    <w:p>
      <w:pPr>
        <w:ind w:left="420"/>
      </w:pPr>
      <w:r>
        <w:t xml:space="preserve">7. Geschlecht,</w:t>
      </w:r>
    </w:p>
    <w:p>
      <w:pPr>
        <w:ind w:left="420"/>
      </w:pPr>
      <w:r>
        <w:t xml:space="preserve">8. derzeitige Staatsangehörigkeiten,</w:t>
      </w:r>
    </w:p>
    <w:p>
      <w:pPr>
        <w:ind w:left="420"/>
      </w:pPr>
      <w:r>
        <w:t xml:space="preserve">9. derzeitige und frühere Anschriften, gekennzeichnet nach Haupt- und Nebenwohnung; bei Zuzug aus dem Ausland den Staat, bei Wegzug in das Ausland die Zuzugsanschrift im Ausland und den Staat,</w:t>
      </w:r>
    </w:p>
    <w:p>
      <w:pPr>
        <w:ind w:left="420"/>
      </w:pPr>
      <w:r>
        <w:t xml:space="preserve">10. Einzugsdatum, Auszugsdatum, Datum des letzten Wegzugs aus einer Wohnung im Inland sowie Datum des letzten Zuzugs aus dem Ausland,</w:t>
      </w:r>
    </w:p>
    <w:p>
      <w:pPr>
        <w:ind w:left="420"/>
      </w:pPr>
      <w:r>
        <w:t xml:space="preserve">11. zum gesetzlichen Vertreter</w:t>
      </w:r>
    </w:p>
    <w:p>
      <w:pPr>
        <w:ind w:left="780"/>
      </w:pPr>
      <w:r>
        <w:t xml:space="preserve">a) Familienname,</w:t>
      </w:r>
    </w:p>
    <w:p>
      <w:pPr>
        <w:ind w:left="780"/>
      </w:pPr>
      <w:r>
        <w:t xml:space="preserve">b) Vornamen,</w:t>
      </w:r>
    </w:p>
    <w:p>
      <w:pPr>
        <w:ind w:left="780"/>
      </w:pPr>
      <w:r>
        <w:t xml:space="preserve">c) Doktorgrad,</w:t>
      </w:r>
    </w:p>
    <w:p>
      <w:pPr>
        <w:ind w:left="780"/>
      </w:pPr>
      <w:r>
        <w:t xml:space="preserve">d) Anschrift,</w:t>
      </w:r>
    </w:p>
    <w:p>
      <w:pPr>
        <w:ind w:left="780"/>
      </w:pPr>
      <w:r>
        <w:t xml:space="preserve">e) Geburtsdatum,</w:t>
      </w:r>
    </w:p>
    <w:p>
      <w:pPr>
        <w:ind w:left="780"/>
      </w:pPr>
      <w:r>
        <w:t xml:space="preserve">f) Geschlecht,</w:t>
      </w:r>
    </w:p>
    <w:p>
      <w:pPr>
        <w:ind w:left="780"/>
      </w:pPr>
      <w:r>
        <w:t xml:space="preserve">g) Sterbedatum sowie</w:t>
      </w:r>
    </w:p>
    <w:p>
      <w:pPr>
        <w:ind w:left="780"/>
      </w:pPr>
      <w:r>
        <w:t xml:space="preserve">h) Auskunftssperren nach § 51 und bedingte Sperrvermerke nach § 52,</w:t>
      </w:r>
    </w:p>
    <w:p>
      <w:pPr>
        <w:ind w:left="420"/>
      </w:pPr>
      <w:r>
        <w:t xml:space="preserve">12. Familienstand; bei Verheirateten oder Lebenspartnern zusätzlich Datum, Ort und Staat der Eheschließung oder der Begründung der Lebenspartnerschaft sowie bei Eheschließung oder Begründung der Lebenspartnerschaft im Ausland auch den Staat,</w:t>
      </w:r>
    </w:p>
    <w:p>
      <w:pPr>
        <w:ind w:left="420"/>
      </w:pPr>
      <w:r>
        <w:t xml:space="preserve">13. zum Ehegatten oder Lebenspartner</w:t>
      </w:r>
    </w:p>
    <w:p>
      <w:pPr>
        <w:ind w:left="780"/>
      </w:pPr>
      <w:r>
        <w:t xml:space="preserve">a) Familienname,</w:t>
      </w:r>
    </w:p>
    <w:p>
      <w:pPr>
        <w:ind w:left="780"/>
      </w:pPr>
      <w:r>
        <w:t xml:space="preserve">b) Vornamen,</w:t>
      </w:r>
    </w:p>
    <w:p>
      <w:pPr>
        <w:ind w:left="780"/>
      </w:pPr>
      <w:r>
        <w:t xml:space="preserve">c) Geburtsname,</w:t>
      </w:r>
    </w:p>
    <w:p>
      <w:pPr>
        <w:ind w:left="780"/>
      </w:pPr>
      <w:r>
        <w:t xml:space="preserve">d) Doktorgrad,</w:t>
      </w:r>
    </w:p>
    <w:p>
      <w:pPr>
        <w:ind w:left="780"/>
      </w:pPr>
      <w:r>
        <w:t xml:space="preserve">e) Geburtsdatum,</w:t>
      </w:r>
    </w:p>
    <w:p>
      <w:pPr>
        <w:ind w:left="780"/>
      </w:pPr>
      <w:r>
        <w:t xml:space="preserve">f) Geschlecht,</w:t>
      </w:r>
    </w:p>
    <w:p>
      <w:pPr>
        <w:ind w:left="780"/>
      </w:pPr>
      <w:r>
        <w:t xml:space="preserve">g) derzeitige Anschriften und Wegzugsanschrift,</w:t>
      </w:r>
    </w:p>
    <w:p>
      <w:pPr>
        <w:ind w:left="780"/>
      </w:pPr>
      <w:r>
        <w:t xml:space="preserve">h) Sterbedatum sowie</w:t>
      </w:r>
    </w:p>
    <w:p>
      <w:pPr>
        <w:ind w:left="780"/>
      </w:pPr>
      <w:r>
        <w:t xml:space="preserve">i) Auskunftssperren nach § 51 und bedingte Sperrvermerke nach § 52,</w:t>
      </w:r>
    </w:p>
    <w:p>
      <w:pPr>
        <w:ind w:left="420"/>
      </w:pPr>
      <w:r>
        <w:t xml:space="preserve">14. zu minderjährigen Kindern</w:t>
      </w:r>
    </w:p>
    <w:p>
      <w:pPr>
        <w:ind w:left="780"/>
      </w:pPr>
      <w:r>
        <w:t xml:space="preserve">a) Familienname,</w:t>
      </w:r>
    </w:p>
    <w:p>
      <w:pPr>
        <w:ind w:left="780"/>
      </w:pPr>
      <w:r>
        <w:t xml:space="preserve">b) Vornamen,</w:t>
      </w:r>
    </w:p>
    <w:p>
      <w:pPr>
        <w:ind w:left="780"/>
      </w:pPr>
      <w:r>
        <w:t xml:space="preserve">c) Geburtsdatum,</w:t>
      </w:r>
    </w:p>
    <w:p>
      <w:pPr>
        <w:ind w:left="780"/>
      </w:pPr>
      <w:r>
        <w:t xml:space="preserve">d) Geschlecht,</w:t>
      </w:r>
    </w:p>
    <w:p>
      <w:pPr>
        <w:ind w:left="780"/>
      </w:pPr>
      <w:r>
        <w:t xml:space="preserve">e) Anschrift im Inland,</w:t>
      </w:r>
    </w:p>
    <w:p>
      <w:pPr>
        <w:ind w:left="780"/>
      </w:pPr>
      <w:r>
        <w:t xml:space="preserve">f) Sterbedatum sowie</w:t>
      </w:r>
    </w:p>
    <w:p>
      <w:pPr>
        <w:ind w:left="780"/>
      </w:pPr>
      <w:r>
        <w:t xml:space="preserve">g) Auskunftssperren nach § 51 und bedingte Sperrvermerke nach § 52,</w:t>
      </w:r>
    </w:p>
    <w:p>
      <w:pPr>
        <w:ind w:left="420"/>
      </w:pPr>
      <w:r>
        <w:t xml:space="preserve">15. Auskunftssperren nach § 51 und bedingte Sperrvermerke nach § 52 sowie</w:t>
      </w:r>
    </w:p>
    <w:p>
      <w:pPr>
        <w:ind w:left="420"/>
      </w:pPr>
      <w:r>
        <w:t xml:space="preserve">16. Sterbedatum und Sterbeort sowie bei Versterben im Ausland auch den Staat.</w:t>
      </w:r>
    </w:p>
    <w:p>
      <w:r>
        <w:t xml:space="preserve">Den in Absatz 4 Satz 1 genannten Behörden darf die Meldebehörde darüber hinaus folgende Daten übermitteln, soweit dies zur Aufgabenerfüllung erforderlich ist:</w:t>
      </w:r>
    </w:p>
    <w:p>
      <w:pPr>
        <w:ind w:left="420"/>
      </w:pPr>
      <w:r>
        <w:t xml:space="preserve">1. Ausstellungsbehörde, Ausstellungsdatum, Gültigkeitsdauer, Seriennummer des Personalausweises, vorläufigen Personalausweises oder Ersatz-Personalausweises, des anerkannten Passes oder Passersatzpapiers,</w:t>
      </w:r>
    </w:p>
    <w:p>
      <w:pPr>
        <w:ind w:left="420"/>
      </w:pPr>
      <w:r>
        <w:t xml:space="preserve">2. Tatsachen nach § 3 Absatz 2 Nummer 4 zu den Pass- und Ausweisdaten,</w:t>
      </w:r>
    </w:p>
    <w:p>
      <w:pPr>
        <w:ind w:left="420"/>
      </w:pPr>
      <w:r>
        <w:t xml:space="preserve">3. Daten für waffen- und sprengstoffrechtliche Verfahren nach § 3 Absatz 2 Nummer 7 und 8 sowie</w:t>
      </w:r>
    </w:p>
    <w:p>
      <w:pPr>
        <w:ind w:left="420"/>
      </w:pPr>
      <w:r>
        <w:t xml:space="preserve">4. Daten zum Wohnungsgeber nach § 3 Absatz 2 Nummer 10.</w:t>
      </w:r>
    </w:p>
    <w:p>
      <w:r>
        <w:t xml:space="preserve">(2) Die Datenübermittlung erfolgt durch</w:t>
      </w:r>
    </w:p>
    <w:p>
      <w:pPr>
        <w:ind w:left="420"/>
      </w:pPr>
      <w:r>
        <w:t xml:space="preserve">1. das Bereithalten der Daten durch die Meldebehörde zum anschließenden automatisierten Abruf unmittelbar durch die andere öffentliche Stelle, soweit dies nach § 34a zugelassen ist, oder</w:t>
      </w:r>
    </w:p>
    <w:p>
      <w:pPr>
        <w:ind w:left="420"/>
      </w:pPr>
      <w:r>
        <w:t xml:space="preserve">2. durch elektronische Datenübertragung.</w:t>
      </w:r>
    </w:p>
    <w:p>
      <w:r>
        <w:t xml:space="preserve">§ 10 Absatz 2 gilt für die Fälle des Satzes 1 entsprechend. Zusätzlich darf über die Identität der Stelle, an die die Daten übermittelt werden, kein Zweifel bestehen. § 3 des Gesetzes über die Verbindung der informationstechnischen Netze des Bundes und der Länder – Gesetz zur Ausführung von Artikel 91c Absatz 4 des Grundgesetzes – vom 10. August 2009 (BGBl. I S. 2702, 2706) in der jeweils geltenden Fassung bleibt unberührt. Abweichend von Satz 1 erfolgt eine Datenübermittlung in schriftlicher Form oder durch Übersenden auf Datenträgern in gesicherter Form, wenn eine Datenübermittlung nach Satz 1</w:t>
      </w:r>
    </w:p>
    <w:p>
      <w:pPr>
        <w:ind w:left="420"/>
      </w:pPr>
      <w:r>
        <w:t xml:space="preserve">1. nicht verfügbar ist,</w:t>
      </w:r>
    </w:p>
    <w:p>
      <w:pPr>
        <w:ind w:left="420"/>
      </w:pPr>
      <w:r>
        <w:t xml:space="preserve">2. nicht zulässig ist oder</w:t>
      </w:r>
    </w:p>
    <w:p>
      <w:pPr>
        <w:ind w:left="420"/>
      </w:pPr>
      <w:r>
        <w:t xml:space="preserve">3. verfügbar und zulässig wäre, aber die empfangende Stelle besondere Umstände geltend macht, von einer Datenübermittlung nach Satz 1 abzuweichen.</w:t>
      </w:r>
    </w:p>
    <w:p>
      <w:r>
        <w:t xml:space="preserve">(3) Die Übermittlung weiterer als der in Absatz 1 Satz 1 bezeichneten Daten oder die Übermittlung der in § 3 Absatz 1 oder 2 genannten Hinweise im Melderegister an andere öffentliche Stellen ist nur dann zulässig, wenn der Empfänger</w:t>
      </w:r>
    </w:p>
    <w:p>
      <w:pPr>
        <w:ind w:left="420"/>
      </w:pPr>
      <w:r>
        <w:t xml:space="preserve">1. ohne Kenntnis der Daten nicht in der Lage wäre, eine ihm durch Rechtsvorschrift übertragene Aufgabe zu erfüllen, und</w:t>
      </w:r>
    </w:p>
    <w:p>
      <w:pPr>
        <w:ind w:left="420"/>
      </w:pPr>
      <w:r>
        <w:t xml:space="preserve">2. die Daten bei der betroffenen Person nur mit unverhältnismäßig hohem Aufwand erheben könnte oder von einer Datenerhebung nach der Art der Aufgabe, zu der die Daten erforderlich sind, abgesehen werden muss.</w:t>
      </w:r>
    </w:p>
    <w:p>
      <w:r>
        <w:t xml:space="preserve">(4) Die Prüfung bei der Meldebehörde, ob die Voraussetzungen nach Absatz 3 und § 8 vorliegen, entfällt, wenn sie von den folgenden Behörden um Übermittlung von Daten und Hinweisen nach Absatz 3 ersucht wird:</w:t>
      </w:r>
    </w:p>
    <w:p>
      <w:pPr>
        <w:ind w:left="420"/>
      </w:pPr>
      <w:r>
        <w:t xml:space="preserve">1. Polizeibehörden,</w:t>
      </w:r>
    </w:p>
    <w:p>
      <w:pPr>
        <w:ind w:left="420"/>
      </w:pPr>
      <w:r>
        <w:t xml:space="preserve">2. Staatsanwaltschaften,</w:t>
      </w:r>
    </w:p>
    <w:p>
      <w:pPr>
        <w:ind w:left="420"/>
      </w:pPr>
      <w:r>
        <w:t xml:space="preserve">3. Amtsanwaltschaften,</w:t>
      </w:r>
    </w:p>
    <w:p>
      <w:pPr>
        <w:ind w:left="420"/>
      </w:pPr>
      <w:r>
        <w:t xml:space="preserve">4. Gerichte, soweit sie Aufgaben der Strafverfolgung, der Strafvollstreckung oder des Strafvollzugs wahrnehmen,</w:t>
      </w:r>
    </w:p>
    <w:p>
      <w:pPr>
        <w:ind w:left="420"/>
      </w:pPr>
      <w:r>
        <w:t xml:space="preserve">5. Justizvollzugsbehörden,</w:t>
      </w:r>
    </w:p>
    <w:p>
      <w:pPr>
        <w:ind w:left="420"/>
      </w:pPr>
      <w:r>
        <w:t xml:space="preserve">6. Verfassungsschutzbehörden,</w:t>
      </w:r>
    </w:p>
    <w:p>
      <w:pPr>
        <w:ind w:left="420"/>
      </w:pPr>
      <w:r>
        <w:t xml:space="preserve">7. Bundesnachrichtendienst,</w:t>
      </w:r>
    </w:p>
    <w:p>
      <w:pPr>
        <w:ind w:left="420"/>
      </w:pPr>
      <w:r>
        <w:t xml:space="preserve">8. Militärischer Abschirmdienst,</w:t>
      </w:r>
    </w:p>
    <w:p>
      <w:pPr>
        <w:ind w:left="420"/>
      </w:pPr>
      <w:r>
        <w:t xml:space="preserve">9. Zollfahndungsdienst,</w:t>
      </w:r>
    </w:p>
    <w:p>
      <w:pPr>
        <w:ind w:left="420"/>
      </w:pPr>
      <w:r>
        <w:t xml:space="preserve">10. Hauptzollämter,</w:t>
      </w:r>
    </w:p>
    <w:p>
      <w:pPr>
        <w:ind w:left="420"/>
      </w:pPr>
      <w:r>
        <w:t xml:space="preserve">11. Finanzbehörden, soweit sie strafverfolgend tätig sind,</w:t>
      </w:r>
    </w:p>
    <w:p>
      <w:pPr>
        <w:ind w:left="420"/>
      </w:pPr>
      <w:r>
        <w:t xml:space="preserve">12. Zentralstelle für Sanktionsdurchsetzung oder</w:t>
      </w:r>
    </w:p>
    <w:p>
      <w:pPr>
        <w:ind w:left="420"/>
      </w:pPr>
      <w:r>
        <w:t xml:space="preserve">13. Bundesamt für Justiz, soweit es Aufgaben der Vollstreckungshilfe nach dem Rahmenbeschluss 2005/214/JI des Rates vom 24. Februar 2005 über die Anwendung des Grundsatzes der gegenseitigen Anerkennung von Geldstrafen und Geldbußen (ABl. L 76 vom 22.3.2005, S. 16), der durch den Rahmenbeschluss 2009/299/JI (ABl. L 81 vom 27.3.2009, S. 24) geändert worden ist, sowie Aufgaben des Strafnachrichtenaustausches nach dem Rahmenbeschluss 2009/315/JI des Rates vom 26. Februar 2009 über die Durchführung und den Inhalt des Austauschs von Informationen aus dem Strafregister zwischen den Mitgliedstaaten (ABl. L 93 vom 7.4.2009, S. 23) wahrnimmt.</w:t>
      </w:r>
    </w:p>
    <w:p>
      <w:r>
        <w:t xml:space="preserve">Die ersuchende Behörde hat den Namen und die Anschrift der betroffenen Person unter Hinweis auf den Anlass der Übermittlung aufzuzeichnen. Diese Aufzeichnungen sind aufzubewahren, durch technische und organisatorische Maßnahmen nach den Artikeln 24, 25 und 32 der Verordnung (EU) 2016/679 zu sichern und nach Ablauf des Kalenderjahres, das dem Jahr der Erstellung der Aufzeichnung folgt, zu vernichten. Satz 3 gilt nicht, wenn die Daten nach Satz 2 Bestandteil von Akten oder Dateisystemen geworden sind.</w:t>
      </w:r>
    </w:p>
    <w:p>
      <w:r>
        <w:t xml:space="preserve">(5) Wurde eine Auskunftssperre nach § 51 Absatz 1 auf Veranlassung einer in Absatz 4 Satz 1 Nummer 1 bis 4, 6 bis 9 und 11 genannten Behörde von Amts wegen eingetragen, sind die betroffene Person und die veranlassende Stelle über jedes Ersuchen um Übermittlung von Daten zur betroffenen Person unverzüglich zu unterrichten. Sofern nach Anhörung der betroffenen Person, oder, wenn diese nicht erreichbar ist, nach Anhörung der veranlassenden Stelle, eine Gefahr nach § 51 Absatz 1 nicht ausgeschlossen werden kann, ist eine Übermittlung in diesen Fällen nicht zulässig; die ersuchende Stelle erhält eine Mitteilung, die keine Rückschlüsse darauf zulassen darf, ob zu der betroffenen Person keine Daten vorhanden sind oder eine Auskunftssperre besteht. Abweichend von den Sätzen 1 und 2 wird bei Übermittlungsersuchen einer in Absatz 4 Satz 1 genannten Stelle ausschließlich die veranlassende Stelle unterrichtet und angehört.</w:t>
      </w:r>
    </w:p>
    <w:p>
      <w:r>
        <w:t xml:space="preserve">(6) Datenübermittlungen von Meldebehörden nach Absatz 2 an andere öffentliche Stellen im Inland sind gebührenfrei. Im Fall des Absatzes 2 Satz 5 Nummer 1 gilt dies jedoch nur, wenn die Meldebehörde die Gründe für die fehlende Nutzung des automatisierten Abrufs oder der elektronischen Datenübertragung zu verantworten hat. Landesrechtliche Regelungen zur Gebührenerhebung bei Datenübermittlungen aus zentralen Meldebeständen oder Portalen auf Landesebene bleiben unberührt.</w:t>
      </w:r>
    </w:p>
    <w:p>
      <w:r>
        <w:rPr>
          <w:color w:val="555555"/>
          <w:sz w:val="17"/>
        </w:rPr>
        <w:t xml:space="preserve">Zitiervorschlag: § 34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