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BMG — Besondere Meldepflichten für Binnenschiffer</w:t>
      </w:r>
    </w:p>
    <w:p>
      <w:r>
        <w:rPr>
          <w:color w:val="555555"/>
          <w:sz w:val="18"/>
        </w:rPr>
        <w:t xml:space="preserve">Bundesmeldegesetz</w:t>
      </w:r>
    </w:p>
    <w:p>
      <w:r>
        <w:rPr>
          <w:color w:val="555555"/>
          <w:sz w:val="18"/>
        </w:rPr>
        <w:t xml:space="preserve">Stand: 10.07.2026 (konsolidierte Textfassung, kein amtliches Inkrafttretensdatum)</w:t>
      </w:r>
    </w:p>
    <w:p>
      <w:r>
        <w:t xml:space="preserve">(1) Wer auf ein Binnenschiff zieht, das in einem Schiffsregister im Inland eingetragen ist, hat sich bei der Meldebehörde des Ortes anzumelden, in dem der Heimathafen des Schiffes liegt. Die Vorschriften über die allgemeine Meldepflicht gelten entsprechend. Die An- und Abmeldung kann auch bei einer anderen Meldebehörde oder bei der Wasserschutzpolizei vorgenommen werden, die die Daten an die zuständige Meldebehörde weiterleitet.</w:t>
      </w:r>
    </w:p>
    <w:p>
      <w:r>
        <w:t xml:space="preserve">(2) Die Meldepflicht nach Absatz 1 besteht nicht für Personen, die im Inland für eine Wohnung nach § 17 Absatz 1 gemeldet sind.</w:t>
      </w:r>
    </w:p>
    <w:p>
      <w:r>
        <w:t xml:space="preserve">(3) Die Meldebehörde kann von Schiffseignern Auskunft verlangen über Personen, welche Personen auf ihren Schiffen wohnen oder gewohnt haben.</w:t>
      </w:r>
    </w:p>
    <w:p>
      <w:r>
        <w:rPr>
          <w:color w:val="555555"/>
          <w:sz w:val="17"/>
        </w:rPr>
        <w:t xml:space="preserve">Zitiervorschlag: § 28 BMG</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