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BMG — Datenerhebung, Meldebestätigung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(1) Bei der An- oder Abmeldung oder der Änderung der Hauptwohnung dürfen bei der meldepflichtigen Person die in § 3 Absatz 1 Nummer 1 bis 18 und in Absatz 2 Nummer 2 Buchstabe a bis c und Nummer 10 genannten Daten erhoben werden. Dies gilt auch für die Hinweise, die zum Nachweis der Richtigkeit dieser Daten erforderlich sind.</w:t>
      </w:r>
    </w:p>
    <w:p>
      <w:r>
        <w:t xml:space="preserve">(2) Die meldepflichtige Person erhält unentgeltlich eine schriftliche oder, sofern die An- oder Abmeldung elektronisch durchgeführt wird, eine elektronische Bestätigung über die An- oder Abmeldung (amtliche Meldebestätigung). Diese darf nur folgende Daten enthalten: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 unter Kennzeichnung des gebräuchlichen Vornamens,</w:t>
      </w:r>
    </w:p>
    <w:p>
      <w:pPr>
        <w:ind w:left="420"/>
      </w:pPr>
      <w:r>
        <w:t xml:space="preserve">3. Doktorgrad,</w:t>
      </w:r>
    </w:p>
    <w:p>
      <w:pPr>
        <w:ind w:left="420"/>
      </w:pPr>
      <w:r>
        <w:t xml:space="preserve">4. Geburtsdatum,</w:t>
      </w:r>
    </w:p>
    <w:p>
      <w:pPr>
        <w:ind w:left="420"/>
      </w:pPr>
      <w:r>
        <w:t xml:space="preserve">5. Einzugsdatum oder Auszugsdatum,</w:t>
      </w:r>
    </w:p>
    <w:p>
      <w:pPr>
        <w:ind w:left="420"/>
      </w:pPr>
      <w:r>
        <w:t xml:space="preserve">6. Datum der An- oder Abmeldung,</w:t>
      </w:r>
    </w:p>
    <w:p>
      <w:pPr>
        <w:ind w:left="420"/>
      </w:pPr>
      <w:r>
        <w:t xml:space="preserve">7. Anschrift und</w:t>
      </w:r>
    </w:p>
    <w:p>
      <w:pPr>
        <w:ind w:left="420"/>
      </w:pPr>
      <w:r>
        <w:t xml:space="preserve">8. alleinige Wohnung, Haupt- oder Nebenwohnung.</w:t>
      </w:r>
    </w:p>
    <w:p>
      <w:r>
        <w:rPr>
          <w:color w:val="555555"/>
          <w:sz w:val="17"/>
        </w:rPr>
        <w:t xml:space="preserve">Zitiervorschlag: § 24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