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23a BMG — Elektronische Anmeldung</w:t>
      </w:r>
    </w:p>
    <w:p>
      <w:r>
        <w:rPr>
          <w:color w:val="555555"/>
          <w:sz w:val="18"/>
        </w:rPr>
        <w:t xml:space="preserve">Bundesmeldegesetz</w:t>
      </w:r>
    </w:p>
    <w:p>
      <w:r>
        <w:rPr>
          <w:color w:val="555555"/>
          <w:sz w:val="18"/>
        </w:rPr>
        <w:t xml:space="preserve">Stand: 10.07.2026 (konsolidierte Textfassung, kein amtliches Inkrafttretensdatum)</w:t>
      </w:r>
    </w:p>
    <w:p>
      <w:r>
        <w:t xml:space="preserve">(1) Die meldepflichtige Person darf bei der Wegzugsmeldebehörde die nach § 3 Absatz 1 Nummer 1 bis 18 und Absatz 2 Nummer 4 gespeicherten Daten elektronisch anfordern. Hierzu hat sie die in § 18 Absatz 1 Satz 3 genannten Daten zu übermitteln. Die Wegzugsmeldebehörde ist verpflichtet, diese Daten in elektronischer und unveränderbarer Form zu übermitteln (vorausgefüllter Meldeschein). Daten zum gesetzlichen Vertreter, Ehegatten, Lebenspartner oder zu minderjährigen Kindern, für die eine Auskunftssperre nach § 51 oder ein bedingter Sperrvermerk nach § 52 gespeichert ist, dürfen nicht in dem vorausgefüllten Meldeschein enthalten sein. § 23 Absatz 4 Satz 1, 2 und 4 gilt entsprechend, wenn die meldepflichtige Person versichert, dass sie berechtigt ist, die Daten des Ehegatten, Lebenspartners und der Familienangehörigen mit denselben Zuzugsdaten elektronisch anzufordern.</w:t>
      </w:r>
    </w:p>
    <w:p>
      <w:r>
        <w:t xml:space="preserve">(2) Die meldepflichtige Person hat die übermittelten Angaben auf ihre Richtigkeit zu prüfen, um die Angaben nach § 19 Absatz 3 Nummer 1 bis 3 zu ergänzen, elektronisch zu bestätigen und an die Zuzugsmeldebehörde zu übermitteln.</w:t>
      </w:r>
    </w:p>
    <w:p>
      <w:r>
        <w:t xml:space="preserve">(3) Die Vorlage der Bestätigung des Wohnungsgebers oder des entsprechenden Zuordnungsmerkmals nach § 19 Absatz 4 Satz 1 kann bei einer elektronischen Anmeldung durch einen Code, der durch die Zuzugsmeldebehörde an die Zuzugsanschrift der meldepflichtigen Person versendet und von dieser bestätigt wird, ersetzt werden.</w:t>
      </w:r>
    </w:p>
    <w:p>
      <w:r>
        <w:t xml:space="preserve">(4) § 10 Absatz 2 und 3 gilt entsprechend.</w:t>
      </w:r>
    </w:p>
    <w:p>
      <w:r>
        <w:rPr>
          <w:color w:val="555555"/>
          <w:sz w:val="17"/>
        </w:rPr>
        <w:t xml:space="preserve">Zitiervorschlag: § 23a BMG</w:t>
      </w:r>
    </w:p>
    <w:p>
      <w:r>
        <w:rPr>
          <w:color w:val="555555"/>
          <w:sz w:val="17"/>
        </w:rPr>
        <w:t xml:space="preserve">Quelle: Bundesamt für Justiz, abgerufen 10.07.2026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https://recht.nulegal.eu/gesetze/BMG/23a</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