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BMG — Bestimmung der Hauptwohnung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Hauptwohnung eines verheirateten oder eine Lebenspartnerschaft führenden Einwohners, der nicht dauernd getrennt von seiner Familie oder seinem Lebenspartner lebt, ist die vorwiegend benutzte Wohnung der Familie oder der Lebenspartner.</w:t>
      </w:r>
    </w:p>
    <w:p>
      <w:r>
        <w:t xml:space="preserve">(2) Hauptwohnung eines minderjährigen Einwohners ist die vorwiegend benutzte Wohnung der Personensorgeberechtigten; leben diese getrennt, ist Hauptwohnung die Wohnung des Sorgeberechtigten, die von dem minderjährigen Einwohner vorwiegend benutzt wird.</w:t>
      </w:r>
    </w:p>
    <w:p>
      <w:r>
        <w:t xml:space="preserve">(3) In Zweifelsfällen ist die vorwiegend benutzte Wohnung dort, wo der Schwerpunkt der Lebensbeziehungen des Einwohners liegt.</w:t>
      </w:r>
    </w:p>
    <w:p>
      <w:r>
        <w:t xml:space="preserve">(4) Kann der Wohnungsstatus eines verheirateten oder eine Lebenspartnerschaft führenden Einwohners nach den Absätzen 1 und 3 nicht zweifelsfrei bestimmt werden, ist die Hauptwohnung die Wohnung nach § 21 Absatz 2.</w:t>
      </w:r>
    </w:p>
    <w:p>
      <w:r>
        <w:t xml:space="preserve">(5) Auf Antrag eines Einwohners, der in einer Einrichtung für behinderte Menschen wohnt, bleibt die Wohnung nach Absatz 2, bis er 25 Jahre alt ist, seine Hauptwohnung.</w:t>
      </w:r>
    </w:p>
    <w:p>
      <w:r>
        <w:rPr>
          <w:color w:val="555555"/>
          <w:sz w:val="17"/>
        </w:rPr>
        <w:t xml:space="preserve">Zitiervorschlag: § 22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https://recht.nulegal.eu/gesetze/BMG/22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