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BMG — Mehrere Wohnungen</w:t>
      </w:r>
    </w:p>
    <w:p>
      <w:r>
        <w:rPr>
          <w:color w:val="555555"/>
          <w:sz w:val="18"/>
        </w:rPr>
        <w:t xml:space="preserve">Bundesmeldegesetz</w:t>
      </w:r>
    </w:p>
    <w:p>
      <w:r>
        <w:rPr>
          <w:color w:val="555555"/>
          <w:sz w:val="18"/>
        </w:rPr>
        <w:t xml:space="preserve">Stand: 13.04.2021 (konsolidierte Textfassung, kein amtliches Inkrafttretensdatum)</w:t>
      </w:r>
    </w:p>
    <w:p>
      <w:r>
        <w:t xml:space="preserve">(1) Hat ein Einwohner mehrere Wohnungen im Inland, so ist eine dieser Wohnungen seine Hauptwohnung.</w:t>
      </w:r>
    </w:p>
    <w:p>
      <w:r>
        <w:t xml:space="preserve">(2) Hauptwohnung ist die vorwiegend benutzte Wohnung des Einwohners.</w:t>
      </w:r>
    </w:p>
    <w:p>
      <w:r>
        <w:t xml:space="preserve">(3) Nebenwohnung ist jede weitere Wohnung des Einwohners im Inland.</w:t>
      </w:r>
    </w:p>
    <w:p>
      <w:r>
        <w:t xml:space="preserve">(4) Die meldepflichtige Person hat der Meldebehörde bei jeder An- oder Abmeldung mitzuteilen, welche weiteren Wohnungen im Inland sie hat und welche Wohnung ihre Hauptwohnung ist. Sie hat jede Änderung der Hauptwohnung innerhalb von zwei Wochen der Meldebehörde mitzuteilen, die für die neue Hauptwohnung zuständig ist. Zieht die meldepflichtige Person aus einer ihrer Nebenwohnungen im Inland aus und bezieht sie keine neue Wohnung, so hat sie dies der Meldebehörde, die für die Nebenwohnung zuständig ist, oder der Meldebehörde, die für die alleinige Wohnung oder die Hauptwohnung zuständig ist, mitzuteilen.</w:t>
      </w:r>
    </w:p>
    <w:p>
      <w:r>
        <w:rPr>
          <w:color w:val="555555"/>
          <w:sz w:val="17"/>
        </w:rPr>
        <w:t xml:space="preserve">Zitiervorschlag: § 21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