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BMG — Aufbewahrung und Löschung von Hinweisen</w:t>
      </w:r>
    </w:p>
    <w:p>
      <w:r>
        <w:rPr>
          <w:color w:val="555555"/>
          <w:sz w:val="18"/>
        </w:rPr>
        <w:t xml:space="preserve">Bundesmeldegesetz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13 und 14 gelten entsprechend für Hinweise, die gespeichert werden, um die Richtigkeit der jeweiligen Daten nachzuweisen.</w:t>
      </w:r>
    </w:p>
    <w:p>
      <w:r>
        <w:rPr>
          <w:color w:val="555555"/>
          <w:sz w:val="17"/>
        </w:rPr>
        <w:t xml:space="preserve">Zitiervorschlag: § 15 BMG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