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BMFSVZustAnO</w:t>
      </w:r>
    </w:p>
    <w:p>
      <w:r>
        <w:rPr>
          <w:color w:val="555555"/>
          <w:sz w:val="18"/>
        </w:rPr>
        <w:t xml:space="preserve">BMF-Soldatenversorgungs-Zuständigkeitsanordnung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2 Absatz 3 der Soldatenversorgungs-Zuständigkeitsübertragungsverordnung vom 22. Juli 2013 (BGBl. I S. 2761) ordnet das Bundesministerium der Finanzen an:</w:t>
      </w:r>
    </w:p>
    <w:p>
      <w:r>
        <w:rPr>
          <w:color w:val="555555"/>
          <w:sz w:val="17"/>
        </w:rPr>
        <w:t xml:space="preserve">Zitiervorschlag: Eingangsformel BMFSVZustAnO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https://recht.nulegal.eu/gesetze/BMFSVZustAnO/eingangsformel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