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BMFSFJBVABesBeihUnffAnO</w:t>
      </w:r>
    </w:p>
    <w:p>
      <w:r>
        <w:rPr>
          <w:color w:val="555555"/>
          <w:sz w:val="18"/>
        </w:rPr>
        <w:t xml:space="preserve">Anordnung des Bundesministeriums für Familie, Senioren, Frauen und Jugend zur Übertragung von Zuständigkeiten in Angelegenheiten der Besoldung, der Beihilfe und der Unfallfürsorge auf das Bundesverwaltungsamt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Nach</w:t>
      </w:r>
    </w:p>
    <w:p>
      <w:pPr>
        <w:ind w:left="420"/>
      </w:pPr>
      <w:r>
        <w:t xml:space="preserve">– § 126 Absatz 3 Satz 2 und § 127 Absatz 3 Satz 1 des Bundesbeamtengesetzes vom 5. Februar 2009 (BGBl. I S. 160),</w:t>
      </w:r>
    </w:p>
    <w:p>
      <w:pPr>
        <w:ind w:left="420"/>
      </w:pPr>
      <w:r>
        <w:t xml:space="preserve">– § 12 Absatz 2 Satz 3 des Bundesbesoldungsgesetzes in der Fassung der Bekanntmachung vom 19. Juni 2009 (BGBl. I S. 1434),</w:t>
      </w:r>
    </w:p>
    <w:p>
      <w:pPr>
        <w:ind w:left="420"/>
      </w:pPr>
      <w:r>
        <w:t xml:space="preserve">– § 44 Absatz 2 Satz 1 und § 45 Absatz 3 Satz 2 des Beamtenversorgungsgesetzes in der Fassung der Bekanntmachung vom 24. Februar 2010 (BGBl. I S. 150),</w:t>
      </w:r>
    </w:p>
    <w:p>
      <w:r>
        <w:t xml:space="preserve">ordnet das Bundesministerium für Familie, Senioren, Frauen und Jugend an:</w:t>
      </w:r>
    </w:p>
    <w:p>
      <w:r>
        <w:rPr>
          <w:color w:val="555555"/>
          <w:sz w:val="17"/>
        </w:rPr>
        <w:t xml:space="preserve">Zitiervorschlag: Eingangsformel BMFSFJBVABesBeihUnffAnO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https://recht.nulegal.eu/gesetze/BMFSFJBVABesBeihUnffAnO/eingangsformel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