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BMFSFJBVABesBeihUnffAnO — Übertragung von Zuständigkeiten der Unfallfürsorge</w:t>
      </w:r>
    </w:p>
    <w:p>
      <w:r>
        <w:rPr>
          <w:color w:val="555555"/>
          <w:sz w:val="18"/>
        </w:rPr>
        <w:t xml:space="preserve">Anordnung des Bundesministeriums für Familie, Senioren, Frauen und Jugend zur Übertragung von Zuständigkeiten in Angelegenheiten der Besoldung, der Beihilfe und der Unfallfürsorge auf das Bundesverwaltungsamt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(1) Dem Bundesverwaltungsamt werden, soweit Beamtinnen und Beamte des Bundesministeriums oder der Bundeszentrale für Kinder- und Jugendmedienschutz betroffen sind, übertragen:</w:t>
      </w:r>
    </w:p>
    <w:p>
      <w:pPr>
        <w:ind w:left="420"/>
      </w:pPr>
      <w:r>
        <w:t xml:space="preserve">1. die Zuständigkeit für die Versagung der Unfallfürsorge (§ 44 Absatz 2 Satz 1 des Beamtenversorgungsgesetzes),</w:t>
      </w:r>
    </w:p>
    <w:p>
      <w:pPr>
        <w:ind w:left="420"/>
      </w:pPr>
      <w:r>
        <w:t xml:space="preserve">2. die Zuständigkeit für die Entscheidung, ob ein Dienstunfall vorliegt und ob der oder die Verletzte den Unfall vorsätzlich herbeigeführt hat (§ 45 Absatz 3 Satz 2 des Beamtenversorgungsgesetzes).</w:t>
      </w:r>
    </w:p>
    <w:p>
      <w:r>
        <w:t xml:space="preserve">(2) Für die Fälle nach Absatz 1 werden dem Bundesverwaltungsamt die Zuständigkeit für den Erlass des Widerspruchsbescheids nach § 126 Absatz 3 Satz 1 des Bundesbeamtengesetzes sowie die Vertretung der Bundesrepublik Deutschland bei Klagen nach § 127 des Bundesbeamtengesetzes übertragen.</w:t>
      </w:r>
    </w:p>
    <w:p>
      <w:r>
        <w:rPr>
          <w:color w:val="555555"/>
          <w:sz w:val="17"/>
        </w:rPr>
        <w:t xml:space="preserve">Zitiervorschlag: § 4 BMFSFJBVABesBeihUnffAnO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https://recht.nulegal.eu/gesetze/BMFSFJBVABesBeihUnffAnO/4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