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BMFSFJBAFzAZustAnO — Übertragung von Zuständigkeiten nach dem Bundesbesoldungsgesetz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Stand: 18.04.2024 (konsolidierte Textfassung, kein amtliches Inkrafttretensdatum)</w:t>
      </w:r>
    </w:p>
    <w:p>
      <w:r>
        <w:t xml:space="preserve">Dem Bundesamt wird die Entscheidung über die Anweisung eines dienstlichen Wohnsitzes nach § 15 Absatz 2 Satz 1 des Bundesbesoldungsgesetzes übertragen.</w:t>
      </w:r>
    </w:p>
    <w:p>
      <w:r>
        <w:rPr>
          <w:color w:val="555555"/>
          <w:sz w:val="17"/>
        </w:rPr>
        <w:t xml:space="preserve">Zitiervorschlag: § 4 BMFSFJBAFzAZustAnO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https://recht.nulegal.eu/gesetze/BMFSFJBAFzAZustAnO/4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