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BMFSFJBAFzAZustAnO — Vorbehaltsklausel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(1) Das Bundesministerium behält sich vor, im Einzelfall die Befugnisse nach den §§ 1 bis 6 und 8 bis 10 selbst auszuüben.</w:t>
      </w:r>
    </w:p>
    <w:p>
      <w:r>
        <w:t xml:space="preserve">(2) Zweifelsfälle und Fälle von grundsätzlicher Bedeutung sind dem Bundesministerium zur Entscheidung vorzulegen.</w:t>
      </w:r>
    </w:p>
    <w:p>
      <w:r>
        <w:rPr>
          <w:color w:val="555555"/>
          <w:sz w:val="17"/>
        </w:rPr>
        <w:t xml:space="preserve">Zitiervorschlag: § 11 BMFSFJBAFzAZustAnO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https://recht.nulegal.eu/gesetze/BMFSFJBAFzAZustAnO/11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