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II. BMFNVAnO</w:t>
      </w:r>
    </w:p>
    <w:p>
      <w:r>
        <w:rPr>
          <w:color w:val="555555"/>
          <w:sz w:val="18"/>
        </w:rPr>
        <w:t xml:space="preserve">Anordnung über die Übertragung der Befugnis zur Genehmigung von Nebentätigkeiten im Geschäftsbereich des Bundesministers der Finanzen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am 19. August 1965 in Kraft.</w:t>
      </w:r>
    </w:p>
    <w:p>
      <w:r>
        <w:rPr>
          <w:color w:val="555555"/>
          <w:sz w:val="17"/>
        </w:rPr>
        <w:t xml:space="preserve">Zitiervorschlag: II. BMFNVAnO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https://recht.nulegal.eu/gesetze/BMFNVAnO/ii.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II. BMFNVAnO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