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BMFNVAnO</w:t>
      </w:r>
    </w:p>
    <w:p>
      <w:r>
        <w:rPr>
          <w:color w:val="555555"/>
          <w:sz w:val="18"/>
        </w:rPr>
        <w:t xml:space="preserve">Anordnung über die Übertragung der Befugnis zur Genehmigung von Nebentätigkeiten im Geschäftsbereich des Bundesministers der Finanzen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65 Abs. 3 Satz 2 BBG übertrage ich hiermit</w:t>
      </w:r>
    </w:p>
    <w:p>
      <w:pPr>
        <w:ind w:left="420"/>
      </w:pPr>
      <w:r>
        <w:t xml:space="preserve">dem Bundesfinanzhofder Bundesschuldenverwaltungden Oberfinanzdirektionender Bundesmonopolverwaltung für Branntwein</w:t>
      </w:r>
    </w:p>
    <w:p>
      <w:r>
        <w:t xml:space="preserve">die Befugnis, den zu ihrem Geschäftsbereich gehörenden Beamten die Ausübung der in § 65 Abs. 1 Nr. 1 u. 2 BBG aufgeführten Nebentätigkeiten zu genehmigen.</w:t>
      </w:r>
    </w:p>
    <w:p>
      <w:r>
        <w:t xml:space="preserve">Die der Oberfinanzdirektion Köln übertragene Befugnis gilt zugleich für die Besoldungsstelle der Bundesfinanzverwaltung in Bad Godesberg, für die Zollwertgruppe bei der Oberfinanzdirektion Köln und für das Zollkriminalinstitut in Köln.</w:t>
      </w:r>
    </w:p>
    <w:p>
      <w:r>
        <w:t xml:space="preserve">Die der Oberfinanzdirektion Frankfurt a.M. übertragene Befugnis gilt zugleich für das Beschaffungsamt der Bundeszollverwaltung in Offenbach a.M..</w:t>
      </w:r>
    </w:p>
    <w:p>
      <w:r>
        <w:rPr>
          <w:color w:val="555555"/>
          <w:sz w:val="17"/>
        </w:rPr>
        <w:t xml:space="preserve">Zitiervorschlag: I. BMFNVAnO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https://recht.nulegal.eu/gesetze/BMFNVAnO/i.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