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II. BMFJubAnO</w:t>
      </w:r>
    </w:p>
    <w:p>
      <w:r>
        <w:rPr>
          <w:color w:val="555555"/>
          <w:sz w:val="18"/>
        </w:rPr>
        <w:t xml:space="preserve">Anordnung über die Übertragung der Befugnis zu Entscheidungen über Jubiläumszuwendungen an Beamte im Geschäftsbereich des Bundesministers der Finanzen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 Anordnung tritt mit Wirkung vom 4. August 1962 in Kraft.</w:t>
      </w:r>
    </w:p>
    <w:p>
      <w:r>
        <w:rPr>
          <w:color w:val="555555"/>
          <w:sz w:val="17"/>
        </w:rPr>
        <w:t xml:space="preserve">Zitiervorschlag: II. BMFJubAnO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https://recht.nulegal.eu/gesetze/BMFJubAnO/ii.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