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BMELWidVertrAnO — Übergangsregelung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bei Klagen aus dem Beamtenverhältnis im Geschäftsbereich des Bundesministeriums für Ernährung und Landwirtschaft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Widersprüche und Klagen, die vor dem 1. Juni 2017 erhoben worden sind, sind die in § 5 Absatz 2 genannten Anordnungen weiter anzuwenden.</w:t>
      </w:r>
    </w:p>
    <w:p>
      <w:r>
        <w:rPr>
          <w:color w:val="555555"/>
          <w:sz w:val="17"/>
        </w:rPr>
        <w:t xml:space="preserve">Zitiervorschlag: § 4 BMELWidVertrAnO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https://recht.nulegal.eu/gesetze/BMELWidVertrAnO/4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