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BMELWidVertrAnO — Erlass von Widerspruchsbescheiden</w:t>
      </w:r>
    </w:p>
    <w:p>
      <w:r>
        <w:rPr>
          <w:color w:val="555555"/>
          <w:sz w:val="18"/>
        </w:rPr>
        <w:t xml:space="preserve">Anordnung zur Übertragung von Zuständigkeiten für den Erlass von Widerspruchsbescheiden und die Vertretung bei Klagen aus dem Beamtenverhältnis im Geschäftsbereich des Bundesministeriums für Ernährung und Landwirtschaft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Befugnis, Widerspruchsbescheide in beamtenrechtlichen Angelegenheiten zu erlassen, wird den folgenden Behörden übertragen, soweit diese die Maßnahme getroffen haben:</w:t>
      </w:r>
    </w:p>
    <w:p>
      <w:pPr>
        <w:ind w:left="420"/>
      </w:pPr>
      <w:r>
        <w:t xml:space="preserve">1. der Bundesanstalt für Landwirtschaft und Ernährung,</w:t>
      </w:r>
    </w:p>
    <w:p>
      <w:pPr>
        <w:ind w:left="420"/>
      </w:pPr>
      <w:r>
        <w:t xml:space="preserve">2. dem Bundessortenamt,</w:t>
      </w:r>
    </w:p>
    <w:p>
      <w:pPr>
        <w:ind w:left="420"/>
      </w:pPr>
      <w:r>
        <w:t xml:space="preserve">3. dem Bundesamt für Verbraucherschutz und Lebensmittelsicherheit,</w:t>
      </w:r>
    </w:p>
    <w:p>
      <w:pPr>
        <w:ind w:left="420"/>
      </w:pPr>
      <w:r>
        <w:t xml:space="preserve">4. dem Julius Kühn-Institut, Bundesforschungsinstitut für Kulturpflanzen,</w:t>
      </w:r>
    </w:p>
    <w:p>
      <w:pPr>
        <w:ind w:left="420"/>
      </w:pPr>
      <w:r>
        <w:t xml:space="preserve">5. dem Friedrich-Loeffler-Institut, Bundesforschungsinstitut für Tiergesundheit,</w:t>
      </w:r>
    </w:p>
    <w:p>
      <w:pPr>
        <w:ind w:left="420"/>
      </w:pPr>
      <w:r>
        <w:t xml:space="preserve">6. dem Max Rubner-Institut, Bundesforschungsinstitut für Ernährung und Lebensmittel,</w:t>
      </w:r>
    </w:p>
    <w:p>
      <w:pPr>
        <w:ind w:left="420"/>
      </w:pPr>
      <w:r>
        <w:t xml:space="preserve">7. dem Johann Heinrich von Thünen-Institut, Bundesforschungsinstitut für Ländliche Räume, Wald und Fischerei,</w:t>
      </w:r>
    </w:p>
    <w:p>
      <w:pPr>
        <w:ind w:left="420"/>
      </w:pPr>
      <w:r>
        <w:t xml:space="preserve">8. dem Bundesamt für zentrale Dienste und offene Vermögensfragen,</w:t>
      </w:r>
    </w:p>
    <w:p>
      <w:pPr>
        <w:ind w:left="420"/>
      </w:pPr>
      <w:r>
        <w:t xml:space="preserve">9. dem Bundesverwaltungsamt.</w:t>
      </w:r>
    </w:p>
    <w:p>
      <w:r>
        <w:rPr>
          <w:color w:val="555555"/>
          <w:sz w:val="17"/>
        </w:rPr>
        <w:t xml:space="preserve">Zitiervorschlag: § 1 BMELWidVertrAnO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https://recht.nulegal.eu/gesetze/BMELWidVertrAnO/1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BMELWidVertrAnO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