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BMELBGebV</w:t>
      </w:r>
    </w:p>
    <w:p>
      <w:r>
        <w:rPr>
          <w:color w:val="555555"/>
          <w:sz w:val="18"/>
        </w:rPr>
        <w:t xml:space="preserve">Besondere Gebührenverordnung BMLEH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Auf Grund des § 22 Absatz 4 Satz 1 in Verbindung mit Absatz 1 Satz 2 und 3 des Bundesgebührengesetzes vom 7. August 2013 (BGBl. I S. 3154), sowie in Verbindung mit § 33 Absatz 3 des Sortenschutzgesetzes, der zuletzt durch Artikel 373 Nummer 2 Buchstabe b der Verordnung vom 31. August 2015 (BGBl. I S. 1474) geändert worden ist, und § 54 Absatz 3 des Saatgutverkehrsgesetzes, der zuletzt durch Artikel 372 Nummer 2 Buchstabe b der Verordnung vom 31. August 2015 (BGBl. I S. 1474) geändert worden ist,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BMELBGebV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