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BMELBGebV — Inkrafttreten</w:t>
      </w:r>
    </w:p>
    <w:p>
      <w:r>
        <w:rPr>
          <w:color w:val="555555"/>
          <w:sz w:val="18"/>
        </w:rPr>
        <w:t xml:space="preserve">Besondere Gebührenverordnung BMLEH</w:t>
      </w:r>
    </w:p>
    <w:p>
      <w:r>
        <w:rPr>
          <w:color w:val="555555"/>
          <w:sz w:val="18"/>
        </w:rPr>
        <w:t xml:space="preserve">Stand: 01.10.2021 (konsolidierte Textfassung, kein amtliches Inkrafttretensdatum)</w:t>
      </w:r>
    </w:p>
    <w:p>
      <w:r>
        <w:t xml:space="preserve">Diese Verordnung tritt am 1. Oktober 2021 in Kraft.</w:t>
      </w:r>
    </w:p>
    <w:p>
      <w:r>
        <w:rPr>
          <w:color w:val="555555"/>
          <w:sz w:val="17"/>
        </w:rPr>
        <w:t xml:space="preserve">Zitiervorschlag: § 8 BMELBGebV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https://recht.nulegal.eu/gesetze/BMELBGebV/8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