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BMELBGebV — Entstehung der Gebührenschuld bei Entscheidung über die Erteilung des Sortenschutzes, die Sortenzulassung, die Verlängerung der Sortenzulassung und die Eintragung eines weiteren Züchters</w:t>
      </w:r>
    </w:p>
    <w:p>
      <w:r>
        <w:rPr>
          <w:color w:val="555555"/>
          <w:sz w:val="18"/>
        </w:rPr>
        <w:t xml:space="preserve">Besondere Gebührenverordnung BMLEH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Gebührenschuld entsteht mit Eingang des Antrags beim Bundessortenamt bei folgenden Entscheidungen:</w:t>
      </w:r>
    </w:p>
    <w:p>
      <w:pPr>
        <w:ind w:left="420"/>
      </w:pPr>
      <w:r>
        <w:t xml:space="preserve">1. Entscheidungen über die Erteilung des Sortenschutzes nach § 22 des Sortenschutzgesetzes,</w:t>
      </w:r>
    </w:p>
    <w:p>
      <w:pPr>
        <w:ind w:left="420"/>
      </w:pPr>
      <w:r>
        <w:t xml:space="preserve">2. Entscheidungen über die Sortenzulassung nach § 42 des Saatgutverkehrsgesetzes,</w:t>
      </w:r>
    </w:p>
    <w:p>
      <w:pPr>
        <w:ind w:left="420"/>
      </w:pPr>
      <w:r>
        <w:t xml:space="preserve">3. Entscheidungen über die Verlängerung der Sortenzulassung nach § 36 des Saatgutverkehrsgesetzes und</w:t>
      </w:r>
    </w:p>
    <w:p>
      <w:pPr>
        <w:ind w:left="420"/>
      </w:pPr>
      <w:r>
        <w:t xml:space="preserve">4. Entscheidungen über die Eintragung eines weiteren Züchters nach § 46 des Saatgutverkehrsgesetzes (Nummern 101, 201, 221 und 231 des Abschnitts 16 des Gebühren- und Auslagenverzeichnisses der Anlage).</w:t>
      </w:r>
    </w:p>
    <w:p>
      <w:r>
        <w:rPr>
          <w:color w:val="555555"/>
          <w:sz w:val="17"/>
        </w:rPr>
        <w:t xml:space="preserve">Zitiervorschlag: § 4 BMELBGebV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