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BMDVTKBGebV</w:t>
      </w:r>
    </w:p>
    <w:p>
      <w:r>
        <w:rPr>
          <w:color w:val="555555"/>
          <w:sz w:val="18"/>
        </w:rPr>
        <w:t xml:space="preserve">Besondere Gebührenverordnung Telekommunikation</w:t>
      </w:r>
    </w:p>
    <w:p>
      <w:r>
        <w:rPr>
          <w:color w:val="555555"/>
          <w:sz w:val="18"/>
        </w:rPr>
        <w:t xml:space="preserve">Stand: 05.01.2024 (konsolidierte Textfassung, kein amtliches Inkrafttretensdatum)</w:t>
      </w:r>
    </w:p>
    <w:p>
      <w:r>
        <w:t xml:space="preserve">Auf Grund des § 22 Absatz 4 Satz 1 in Verbindung mit Absatz 1 Satz 2 und 3 des Bundesgebührengesetzes vom 7. August 2013 (BGBl. I S. 3154) verordnet das Bundesministerium für Digitales und Verkehr:</w:t>
      </w:r>
    </w:p>
    <w:p>
      <w:r>
        <w:rPr>
          <w:color w:val="555555"/>
          <w:sz w:val="17"/>
        </w:rPr>
        <w:t xml:space="preserve">Zitiervorschlag: Eingangsformel BMDVTKBGebV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https://recht.nulegal.eu/gesetze/BMDVTKBGebV/eingangsformel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