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BMDVTKBGebV — Übergangsvorschrift</w:t>
      </w:r>
    </w:p>
    <w:p>
      <w:r>
        <w:rPr>
          <w:color w:val="555555"/>
          <w:sz w:val="18"/>
        </w:rPr>
        <w:t xml:space="preserve">Besondere Gebührenverordnung Telekommunikation</w:t>
      </w:r>
    </w:p>
    <w:p>
      <w:r>
        <w:rPr>
          <w:color w:val="555555"/>
          <w:sz w:val="18"/>
        </w:rPr>
        <w:t xml:space="preserve">Stand: 03.08.2024 (konsolidierte Textfassung, kein amtliches Inkrafttretensdatum)</w:t>
      </w:r>
    </w:p>
    <w:p>
      <w:r>
        <w:t xml:space="preserve">Abschnitt 1 Unterabschnitt 5 Nummer 5.8 bis 5.10 der Anlage ist auf alle dort genannten gebührenfähigen Leistungen anzuwenden, die ab dem 1. Dezember 2021 begonnen wurden.</w:t>
      </w:r>
    </w:p>
    <w:p>
      <w:r>
        <w:rPr>
          <w:color w:val="555555"/>
          <w:sz w:val="17"/>
        </w:rPr>
        <w:t xml:space="preserve">Zitiervorschlag: § 6 BMDVTKBGebV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https://recht.nulegal.eu/gesetze/BMDVTKBGebV/6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