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BMASErnAnO 2025 — Bundesgerichte</w:t>
      </w:r>
    </w:p>
    <w:p>
      <w:r>
        <w:rPr>
          <w:color w:val="555555"/>
          <w:sz w:val="18"/>
        </w:rPr>
        <w:t xml:space="preserve">Anordnung über die Befugnisse zur Ernennung und Entlassung der Beamtinnen und Beamten im Geschäftsbereich des Bundesministeriums für Arbeit und Soziales</w:t>
      </w:r>
    </w:p>
    <w:p>
      <w:r>
        <w:rPr>
          <w:color w:val="555555"/>
          <w:sz w:val="18"/>
        </w:rPr>
        <w:t xml:space="preserve">Stand: 11.01.2025 (konsolidierte Textfassung, kein amtliches Inkrafttretensdatum)</w:t>
      </w:r>
    </w:p>
    <w:p>
      <w:r>
        <w:t xml:space="preserve">Es wird übertragen</w:t>
      </w:r>
    </w:p>
    <w:p>
      <w:pPr>
        <w:ind w:left="420"/>
      </w:pPr>
      <w:r>
        <w:t xml:space="preserve">1. der Präsidentin oder dem Präsidenten des Bundesarbeitsgerichts,</w:t>
      </w:r>
    </w:p>
    <w:p>
      <w:pPr>
        <w:ind w:left="420"/>
      </w:pPr>
      <w:r>
        <w:t xml:space="preserve">2. der Präsidentin oder dem Präsidenten des Bundessozialgerichts</w:t>
      </w:r>
    </w:p>
    <w:p>
      <w:r>
        <w:t xml:space="preserve">jeweils für ihren oder seinen Geschäftsbereich die Befugnis zur Ernennung und Entlassung der Bundesbeamtinnen und Bundesbeamten der Besoldungsgruppen bis A 15.</w:t>
      </w:r>
    </w:p>
    <w:p>
      <w:r>
        <w:rPr>
          <w:color w:val="555555"/>
          <w:sz w:val="17"/>
        </w:rPr>
        <w:t xml:space="preserve">Zitiervorschlag: § 2 BMASErnAnO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https://recht.nulegal.eu/gesetze/BMASErnAnO%202025/2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