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BMASErnAnO 2023</w:t>
      </w:r>
    </w:p>
    <w:p>
      <w:r>
        <w:rPr>
          <w:color w:val="555555"/>
          <w:sz w:val="18"/>
        </w:rPr>
        <w:t xml:space="preserve">Anordnung über die Befugnisse zur Ernennung und Entlassung der Beamtinnen und Beamten im Geschäftsbereich des Bundesministeriums für Arbeit und Soziales</w:t>
      </w:r>
    </w:p>
    <w:p>
      <w:r>
        <w:rPr>
          <w:color w:val="555555"/>
          <w:sz w:val="18"/>
        </w:rPr>
        <w:t xml:space="preserve">Historische Fassung: Stand 14.01.2023 bis 02.07.2026. Dies ist nicht die aktuelle Fassung.</w:t>
      </w:r>
    </w:p>
    <w:p>
      <w:r>
        <w:t xml:space="preserve">Das Bundesministerium für Arbeit und Soziales erlässt</w:t>
      </w:r>
    </w:p>
    <w:p>
      <w:pPr>
        <w:ind w:left="420"/>
      </w:pPr>
      <w:r>
        <w:t xml:space="preserve">– nach Artikel 1 Absatz 1 der Anordnung des Bundespräsidenten über die Ernennung und Entlassung der Beamtinnen, Beamten, Richterinnen und Richter des Bundes vom 23. Juni 2004 (BGBl. I S. 1286),</w:t>
      </w:r>
    </w:p>
    <w:p>
      <w:pPr>
        <w:ind w:left="420"/>
      </w:pPr>
      <w:r>
        <w:t xml:space="preserve">– nach § 38 Absatz 3 Satz 2 des Sozialgerichtsgesetzes in der Fassung der Bekanntmachung vom 23. September 1975 (BGBl. I S. 2535), der zuletzt durch Artikel 1 Nummer 16 des Gesetzes vom 17. August 2001 (BGBl. I S. 2144) geändert worden ist,</w:t>
      </w:r>
    </w:p>
    <w:p>
      <w:pPr>
        <w:ind w:left="420"/>
      </w:pPr>
      <w:r>
        <w:t xml:space="preserve">– nach § 40 Absatz 2 Satz 2 des Arbeitsgerichtsgesetzes in der Fassung der Bekanntmachung vom 2. Juli 1979 (BGBl. I S. 853, 1036), der zuletzt durch Artikel 170 Nummer 2 der Verordnung vom 31. August 2015 (BGBl. I S. 1474) geändert worden ist, in Verbindung mit § 1 Absatz 2 des Zuständigkeitsanpassungsgesetzes vom 16. August 2002 (BGBl. I S. 3165) und dem Organisationserlass vom 8. Dezember 2021 (BGBl. I S. 5176) im Einvernehmen mit dem Bundesministerium der Justiz,</w:t>
      </w:r>
    </w:p>
    <w:p>
      <w:pPr>
        <w:ind w:left="420"/>
      </w:pPr>
      <w:r>
        <w:t xml:space="preserve">– nach § 143 Absatz 7 des Sechsten Buches Sozialgesetzbuch – Gesetzliche Rentenversicherung – in der Fassung der Bekanntmachung vom 19. Februar 2002 (BGBl. I S. 754, 1404, 3384),</w:t>
      </w:r>
    </w:p>
    <w:p>
      <w:pPr>
        <w:ind w:left="420"/>
      </w:pPr>
      <w:r>
        <w:t xml:space="preserve">– nach § 148 Absatz 2 und § 149 Absatz 3 des Siebten Buches Sozialgesetzbuch – Gesetzliche Unfallversicherung – (Artikel 1 des Gesetzes vom 7. August 1996, BGBl. I S. 1254), von denen § 148 Absatz 2 zuletzt durch Artikel 5 Nummer 10 des Gesetzes vom 19. Oktober 2013 (BGBl. I S. 3836) und § 149 Absatz 3 zuletzt durch Artikel 7 Nummer 19a des Gesetzes vom 12. Juni 2020 (BGBl. I S. 1248) geändert worden ist,</w:t>
      </w:r>
    </w:p>
    <w:p>
      <w:pPr>
        <w:ind w:left="420"/>
      </w:pPr>
      <w:r>
        <w:t xml:space="preserve">– nach § 5 Absatz 2 des Gesetzes zur Errichtung der Sozialversicherung für Landwirtschaft, Forsten und Gartenbau vom 12. April 2012 (BGBl. I S. 579), der zuletzt durch Artikel 15 des Gesetzes vom 12. Juni 2020 (BGBl. I S. 1248) geändert worden ist,</w:t>
      </w:r>
    </w:p>
    <w:p>
      <w:r>
        <w:t xml:space="preserve">die folgende Anordnung:</w:t>
      </w:r>
    </w:p>
    <w:p>
      <w:r>
        <w:rPr>
          <w:color w:val="555555"/>
          <w:sz w:val="17"/>
        </w:rPr>
        <w:t xml:space="preserve">Zitiervorschlag: Eingangsformel BMASErnAnO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https://recht.nulegal.eu/gesetze/BMASErnAnO%202023/eingangsformel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