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BMASErnAnO 2021 — Mittelbare Bundesverwaltung</w:t>
      </w:r>
    </w:p>
    <w:p>
      <w:r>
        <w:rPr>
          <w:color w:val="555555"/>
          <w:sz w:val="18"/>
        </w:rPr>
        <w:t xml:space="preserve">Anordnung über die Befugnisse zur Ernennung und Entlassung der Beamtinnen und Beamten im Geschäftsbereich des Bundesministeriums für Arbeit und Soziales</w:t>
      </w:r>
    </w:p>
    <w:p>
      <w:r>
        <w:rPr>
          <w:color w:val="555555"/>
          <w:sz w:val="18"/>
        </w:rPr>
        <w:t xml:space="preserve">Historische Fassung: Stand 01.12.2021 bis 14.01.2023. Dies ist nicht die aktuelle Fassung.</w:t>
      </w:r>
    </w:p>
    <w:p>
      <w:r>
        <w:t xml:space="preserve">(1) Dem Vorstand der Deutschen Rentenversicherung Bund und der Deutschen Rentenversicherung Knappschaft-Bahn-See wird jeweils für seinen Geschäftsbereich die Befugnis zur Ernennung und Entlassung der Beamtinnen und Beamten der Bundesbesoldungsordnung A sowie der Besoldungsgruppen W 1 und W 2 sowie C 1 bis C 3 übertragen. Er kann seine Befugnisse für den einfachen, mittleren und gehobenen Dienst auf das Direktorium oder die Geschäftsführung übertragen.</w:t>
      </w:r>
    </w:p>
    <w:p>
      <w:r>
        <w:t xml:space="preserve">(2) Dem Vorstand der Sozialversicherung für Landwirtschaft, Forsten und Gartenbau wird für seinen Geschäftsbereich die Befugnis zur Ernennung und Entlassung der Beamtinnen und Beamten der Bundesbesoldungsordnung A mit Ausnahme des Rechts zur Neubegründung von Beamtenverhältnissen übertragen. Der Vorstand kann die Befugnis ganz oder teilweise auf die Geschäftsführung übertragen.</w:t>
      </w:r>
    </w:p>
    <w:p>
      <w:r>
        <w:t xml:space="preserve">(3) Dem Vorstand der Unfallversicherung Bund und Bahn wird für seinen Geschäftsbereich die Befugnis zur Ernennung und Entlassung der Beamtinnen und Beamten der Bundesbesoldungsordnung A mit Ausnahme der Beamtinnen und Beamten der Künstlersozialkasse übertragen. Der Vorstand kann diese Befugnis ganz oder teilweise auf die Geschäftsführerin oder den Geschäftsführer übertragen.</w:t>
      </w:r>
    </w:p>
    <w:p>
      <w:r>
        <w:t xml:space="preserve">(4) Der Geschäftsführerin oder dem Geschäftsführer der Unfallversicherung Bund und Bahn wird die Befugnis zur Ernennung und Entlassung der Beamtinnen und Beamten der Bundesbesoldungsordnung A der Künstlersozialkasse mit Ausnahme der Leiterin oder des Leiters des Geschäftsbereichs Künstlersozialversicherung übertragen.</w:t>
      </w:r>
    </w:p>
    <w:p>
      <w:r>
        <w:t xml:space="preserve">(5) Dem Vorstand der Berufsgenossenschaft Verkehrswirtschaft Post-Logistik Telekommunikation wird für seinen Geschäftsbereich die Befugnis zur Ernennung und Entlassung der Beamtinnen und Beamten der Bundesbesoldungsordnung A mit Ausnahme des Rechts zur Neubegründung von Beamtenverhältnissen übertragen. Der Vorstand kann diese Befugnis ganz oder teilweise auf die Geschäftsführung übertragen.</w:t>
      </w:r>
    </w:p>
    <w:p>
      <w:r>
        <w:t xml:space="preserve">(6) Die Behörden nach den Absätzen 1 bis 5 legen dem Bundesministerium für Arbeit und Soziales zweimal jährlich, jeweils zum Ende des ersten und zum Ende des dritten Quartals, eine Übersicht zur Stellenbesetzung ab Besoldungsgruppe A 16 vor.</w:t>
      </w:r>
    </w:p>
    <w:p>
      <w:r>
        <w:rPr>
          <w:color w:val="555555"/>
          <w:sz w:val="17"/>
        </w:rPr>
        <w:t xml:space="preserve">Zitiervorschlag: § 3 BMASErnAnO 2021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https://recht.nulegal.eu/gesetze/BMASErnAnO%202021/3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