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BMASBGebV — Inkrafttreten</w:t>
      </w:r>
    </w:p>
    <w:p>
      <w:r>
        <w:rPr>
          <w:color w:val="555555"/>
          <w:sz w:val="18"/>
        </w:rPr>
        <w:t xml:space="preserve">Besondere Gebührenverordnung BMAS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Diese Verordnung tritt am 1. Oktober 2021 in Kraft.</w:t>
      </w:r>
    </w:p>
    <w:p>
      <w:r>
        <w:rPr>
          <w:color w:val="555555"/>
          <w:sz w:val="17"/>
        </w:rPr>
        <w:t xml:space="preserve">Zitiervorschlag: § 5 BMASBGebV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https://recht.nulegal.eu/gesetze/BMASBGebV/5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