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BLV 2026 — Beamtenverhältnis auf Probe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Für Beamtinnen und Beamte, die vor dem 12. Februar 2009 in ein Beamtenverhältnis auf Probe berufen worden sind, gelten anstelle der §§ 37 bis 39 die §§ 7 bis 10 und § 44 Absatz 1 Nummer 2 und 3 der Bundeslaufbahnverordnung in der Fassung der Bekanntmachung vom 2. Juli 2002 (BGBl. I S. 2459, 2671), die zuletzt durch Artikel 15 Absatz 28 des Gesetzes vom 5. Februar 2009 (BGBl. I S. 160) geändert worden ist, mit den Maßgaben, dass sich die Probezeit nicht durch Mutterschutz, Elternzeit und Teilzeit verlängert und § 21 Absatz 3 entsprechend anzuwenden ist.</w:t>
      </w:r>
    </w:p>
    <w:p>
      <w:r>
        <w:t xml:space="preserve">(2) Auf Beamtinnen und Beamte, die vor dem 26. Februar 2013 in ein Beamtenverhältnis auf Probe berufen worden sind, ist § 29 in seiner bis dahin geltenden Fassung anzuwenden.</w:t>
      </w:r>
    </w:p>
    <w:p>
      <w:r>
        <w:rPr>
          <w:color w:val="555555"/>
          <w:sz w:val="17"/>
        </w:rPr>
        <w:t xml:space="preserve">Zitiervorschlag: § 62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