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BLV 2026 — Gestaltung der Laufbahnen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Die Laufbahnen sind den Laufbahngruppen des einfachen, mittleren, gehobenen und höheren Dienstes zugeordnet. Die Zugehörigkeit einer Laufbahn zu einer Laufbahngruppe richtet sich nach dem im Bundesbesoldungsgesetz bestimmten Eingangsamt.</w:t>
      </w:r>
    </w:p>
    <w:p>
      <w:r>
        <w:t xml:space="preserve">(2) In den Laufbahngruppen können jeweils folgende Laufbahnen eingerichtet werden:</w:t>
      </w:r>
    </w:p>
    <w:p>
      <w:pPr>
        <w:ind w:left="420"/>
      </w:pPr>
      <w:r>
        <w:t xml:space="preserve">1. der nichttechnische Verwaltungsdienst,</w:t>
      </w:r>
    </w:p>
    <w:p>
      <w:pPr>
        <w:ind w:left="420"/>
      </w:pPr>
      <w:r>
        <w:t xml:space="preserve">2. der technische Verwaltungsdienst,</w:t>
      </w:r>
    </w:p>
    <w:p>
      <w:pPr>
        <w:ind w:left="420"/>
      </w:pPr>
      <w:r>
        <w:t xml:space="preserve">3. der sprach- und kulturwissenschaftliche Dienst,</w:t>
      </w:r>
    </w:p>
    <w:p>
      <w:pPr>
        <w:ind w:left="420"/>
      </w:pPr>
      <w:r>
        <w:t xml:space="preserve">4. der naturwissenschaftliche Dienst,</w:t>
      </w:r>
    </w:p>
    <w:p>
      <w:pPr>
        <w:ind w:left="420"/>
      </w:pPr>
      <w:r>
        <w:t xml:space="preserve">5. der agrar-, forst- und ernährungswissenschaftliche sowie tierärztliche Dienst,</w:t>
      </w:r>
    </w:p>
    <w:p>
      <w:pPr>
        <w:ind w:left="420"/>
      </w:pPr>
      <w:r>
        <w:t xml:space="preserve">6. der ärztliche und gesundheitswissenschaftliche Dienst,</w:t>
      </w:r>
    </w:p>
    <w:p>
      <w:pPr>
        <w:ind w:left="420"/>
      </w:pPr>
      <w:r>
        <w:t xml:space="preserve">7. der sportwissenschaftliche Dienst und</w:t>
      </w:r>
    </w:p>
    <w:p>
      <w:pPr>
        <w:ind w:left="420"/>
      </w:pPr>
      <w:r>
        <w:t xml:space="preserve">8. der kunstwissenschaftliche Dienst.</w:t>
      </w:r>
    </w:p>
    <w:p>
      <w:r>
        <w:rPr>
          <w:color w:val="555555"/>
          <w:sz w:val="17"/>
        </w:rPr>
        <w:t xml:space="preserve">Zitiervorschlag: § 6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