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57 BLV 2026 — Ausnahmen von der regelmäßigen Beurteilung</w:t>
      </w:r>
    </w:p>
    <w:p>
      <w:r>
        <w:rPr>
          <w:color w:val="555555"/>
          <w:sz w:val="18"/>
        </w:rPr>
        <w:t xml:space="preserve">Bundeslaufbahnverordnung</w:t>
      </w:r>
    </w:p>
    <w:p>
      <w:r>
        <w:rPr>
          <w:color w:val="555555"/>
          <w:sz w:val="18"/>
        </w:rPr>
        <w:t xml:space="preserve">Stand: 17.03.2026 (konsolidierte Textfassung, kein amtliches Inkrafttretensdatum)</w:t>
      </w:r>
    </w:p>
    <w:p>
      <w:r>
        <w:t xml:space="preserve">Ausnahmen von der regelmäßigen Beurteilung können zugelassen werden, wenn eine dienstliche Beurteilung nicht zweckmäßig ist. Dies ist insbesondere in herausgehobenen Führungsfunktionen der Fall. Die §§ 37 bis 39 bleiben unberührt.</w:t>
      </w:r>
    </w:p>
    <w:p>
      <w:r>
        <w:rPr>
          <w:color w:val="555555"/>
          <w:sz w:val="17"/>
        </w:rPr>
        <w:t xml:space="preserve">Zitiervorschlag: § 57 BLV 2026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https://recht.nulegal.eu/gesetze/BLV%202026/57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