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BLV 2026 — Internationale Verwendungen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Wenn Erfahrungen und Kenntnisse im internationalen Bereich für den Dienstposten wesentlich sind, sind folgende erfolgreich absolvierte hauptberufliche Tätigkeiten besonders zu berücksichtigen:</w:t>
      </w:r>
    </w:p>
    <w:p>
      <w:pPr>
        <w:ind w:left="420"/>
      </w:pPr>
      <w:r>
        <w:t xml:space="preserve">1. Tätigkeiten in einer öffentlichen zwischenstaatlichen oder überstaatlichen Einrichtung,</w:t>
      </w:r>
    </w:p>
    <w:p>
      <w:pPr>
        <w:ind w:left="420"/>
      </w:pPr>
      <w:r>
        <w:t xml:space="preserve">2. Tätigkeiten in der Verwaltung eines Mitgliedstaats der Europäischen Union und</w:t>
      </w:r>
    </w:p>
    <w:p>
      <w:pPr>
        <w:ind w:left="420"/>
      </w:pPr>
      <w:r>
        <w:t xml:space="preserve">3. Tätigkeiten in einer öffentlichen Einrichtung eines Mitgliedstaats der Europäischen Union während einer Beurlaubung nach § 6 Absatz 1 der Sonderurlaubsverordnung.</w:t>
      </w:r>
    </w:p>
    <w:p>
      <w:r>
        <w:t xml:space="preserve">Tätigkeiten nach Satz 1 dürfen sich im Übrigen nicht nachteilig auf das berufliche Fortkommen der Beamtinnen und Beamten auswirken.</w:t>
      </w:r>
    </w:p>
    <w:p>
      <w:r>
        <w:rPr>
          <w:color w:val="555555"/>
          <w:sz w:val="17"/>
        </w:rPr>
        <w:t xml:space="preserve">Zitiervorschlag: § 54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