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BLV 2026 — Wechsel von Staatsanwältinnen und Staatsanwälten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Staatsanwältinnen und Staatsanwälten, die in die Laufbahn des höheren nichttechnischen Verwaltungsdienstes wechseln, können nach folgenden Zeiträumen folgende Ämter übertragen werden:</w:t>
      </w:r>
    </w:p>
    <w:p>
      <w:pPr>
        <w:ind w:left="420"/>
      </w:pPr>
      <w:r>
        <w:t xml:space="preserve">1. ein Amt der Besoldungsgruppe A 14 der Bundesbesoldungsordnung A: ein Jahr nach der Ernennung zur Staatsanwältin oder zum Staatsanwalt auf Lebenszeit,</w:t>
      </w:r>
    </w:p>
    <w:p>
      <w:pPr>
        <w:ind w:left="420"/>
      </w:pPr>
      <w:r>
        <w:t xml:space="preserve">2. ein Amt der Besoldungsgruppe A 15 der Bundesbesoldungsordnung A: zwei Jahre nach der Ernennung zur Staatsanwältin oder zum Staatsanwalt auf Lebenszeit.</w:t>
      </w:r>
    </w:p>
    <w:p>
      <w:r>
        <w:t xml:space="preserve">Einer Staatsanwältin oder einem Staatsanwalt der Besoldungsgruppe R 2 der Bundesbesoldungsordnung R kann ein Amt der Besoldungsgruppe A 16 der Bundesbesoldungsordnung A übertragen werden.</w:t>
      </w:r>
    </w:p>
    <w:p>
      <w:r>
        <w:rPr>
          <w:color w:val="555555"/>
          <w:sz w:val="17"/>
        </w:rPr>
        <w:t xml:space="preserve">Zitiervorschlag: § 52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