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BLV 2026 — Schwerbehinderte Menschen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Von schwerbehinderten Menschen darf nur das Mindestmaß an körperlicher Eignung verlangt werden.</w:t>
      </w:r>
    </w:p>
    <w:p>
      <w:r>
        <w:t xml:space="preserve">(2) In Auswahlverfahren und in Prüfungsverfahren im Sinne dieser Verordnung sind für schwerbehinderte Menschen Erleichterungen vorzusehen, die ihrer Behinderung angemessen sind.</w:t>
      </w:r>
    </w:p>
    <w:p>
      <w:r>
        <w:t xml:space="preserve">(3) Bei der Beurteilung der Leistung schwerbehinderter Menschen ist eine etwaige Beeinträchtigung der Arbeits- und Verwendungsfähigkeit wegen der Behinderung zu berücksichtigen.</w:t>
      </w:r>
    </w:p>
    <w:p>
      <w:r>
        <w:rPr>
          <w:color w:val="555555"/>
          <w:sz w:val="17"/>
        </w:rPr>
        <w:t xml:space="preserve">Zitiervorschlag: § 5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