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BLV 2026 — Einstellung von Richterinnen und Richtern sowie früheren Staatsanwältinnen und Staatsanwälten in ein Beförderungsamt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Abweichend von § 34 können Richterinnen und Richtern, die in die Laufbahn des höheren nichttechnischen Verwaltungsdienstes wechseln, nach folgenden Zeiträumen folgende Ämter übertragen werden:</w:t>
      </w:r>
    </w:p>
    <w:p>
      <w:pPr>
        <w:ind w:left="420"/>
      </w:pPr>
      <w:r>
        <w:t xml:space="preserve">1. ein Amt der Besoldungsgruppe A 14 der Bundesbesoldungsordnung A ein Jahr nach der Ernennung zur Richterin oder zum Richter auf Lebenszeit,</w:t>
      </w:r>
    </w:p>
    <w:p>
      <w:pPr>
        <w:ind w:left="420"/>
      </w:pPr>
      <w:r>
        <w:t xml:space="preserve">2. ein Amt der Besoldungsgruppe A 15 der Bundesbesoldungsordnung A zwei Jahre nach der Ernennung zur Richterin oder zum Richter auf Lebenszeit.</w:t>
      </w:r>
    </w:p>
    <w:p>
      <w:r>
        <w:t xml:space="preserve">Einer Richterin oder einem Richter der Besoldungsgruppe R 2 der Bundesbesoldungsordnung R kann ein Amt der Besoldungsgruppe A 16 der Bundesbesoldungsordnung A übertragen werden.</w:t>
      </w:r>
    </w:p>
    <w:p>
      <w:r>
        <w:t xml:space="preserve">(2) Absatz 1 gilt auch für frühere Richterinnen und Richter sowie frühere Staatsanwältinnen und Staatsanwälte.</w:t>
      </w:r>
    </w:p>
    <w:p>
      <w:r>
        <w:rPr>
          <w:color w:val="555555"/>
          <w:sz w:val="17"/>
        </w:rPr>
        <w:t xml:space="preserve">Zitiervorschlag: § 35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