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BLV 2026 — Einstellung in ein Beförderungsamt</w:t>
      </w:r>
    </w:p>
    <w:p>
      <w:r>
        <w:rPr>
          <w:color w:val="555555"/>
          <w:sz w:val="18"/>
        </w:rPr>
        <w:t xml:space="preserve">Bundeslaufbahnverordnung</w:t>
      </w:r>
    </w:p>
    <w:p>
      <w:r>
        <w:rPr>
          <w:color w:val="555555"/>
          <w:sz w:val="18"/>
        </w:rPr>
        <w:t xml:space="preserve">Stand: 17.03.2026 (konsolidierte Textfassung, kein amtliches Inkrafttretensdatum)</w:t>
      </w:r>
    </w:p>
    <w:p>
      <w:r>
        <w:t xml:space="preserve">(1) Eine Bewerberin oder ein Bewerber kann in ein Beförderungsamt eingestellt werden, wenn sie oder er</w:t>
      </w:r>
    </w:p>
    <w:p>
      <w:pPr>
        <w:ind w:left="420"/>
      </w:pPr>
      <w:r>
        <w:t xml:space="preserve">1. das angestrebte Amt nach dem individuellen fiktiven Werdegang erreichen kann und</w:t>
      </w:r>
    </w:p>
    <w:p>
      <w:pPr>
        <w:ind w:left="420"/>
      </w:pPr>
      <w:r>
        <w:t xml:space="preserve">2. für den Zeitraum des individuellen fiktiven Werdegangs hauptberufliche Tätigkeiten nachweist, die</w:t>
      </w:r>
    </w:p>
    <w:p>
      <w:pPr>
        <w:ind w:left="780"/>
      </w:pPr>
      <w:r>
        <w:t xml:space="preserve">a) nach Fachrichtung und Schwierigkeit der Tätigkeit einer Beamtin oder eines Beamten in der angestrebten Laufbahn entsprochen haben und</w:t>
      </w:r>
    </w:p>
    <w:p>
      <w:pPr>
        <w:ind w:left="780"/>
      </w:pPr>
      <w:r>
        <w:t xml:space="preserve">b) innerhalb dieses Zeitraums für eine Dauer von mindestens sechs Monaten nach ihrer Art und Bedeutung dem angestrebten Amt entsprochen haben.</w:t>
      </w:r>
    </w:p>
    <w:p>
      <w:r>
        <w:t xml:space="preserve">Liegt keine hauptberufliche Tätigkeit nach Satz 1 Nummer 2 vor, so ist die besondere Befähigung für das angestrebte Amt durch förderliche Zusatzqualifikationen nachzuweisen.</w:t>
      </w:r>
    </w:p>
    <w:p>
      <w:r>
        <w:t xml:space="preserve">(2) Der Zeitraum des individuellen fiktiven Werdegangs ist die Summe aus</w:t>
      </w:r>
    </w:p>
    <w:p>
      <w:pPr>
        <w:ind w:left="420"/>
      </w:pPr>
      <w:r>
        <w:t xml:space="preserve">1. einem Zeitraum von drei Jahren, der an die Stelle der Probezeit tritt, die von einer Beamtin oder einem Beamten zu absolvieren ist, und</w:t>
      </w:r>
    </w:p>
    <w:p>
      <w:pPr>
        <w:ind w:left="420"/>
      </w:pPr>
      <w:r>
        <w:t xml:space="preserve">2. einem Zeitraum von einem Jahr, der an die Stelle jeder Sperrfrist tritt, die bei einer Beamtin oder einem Beamten nach dem Erreichen des ersten Beförderungsamtes bis zum Erreichen des angestrebten Amtes einzuhalten ist.</w:t>
      </w:r>
    </w:p>
    <w:p>
      <w:r>
        <w:t xml:space="preserve">Wenn in der Dienstbehörde üblicherweise ein längerer Zeitraum als ein Jahr zwischen zwei Beförderungen liegt, so kann die Dienstbehörde abweichend von Satz 1 Nummer 2 diesen längeren Zeitraum festlegen.</w:t>
      </w:r>
    </w:p>
    <w:p>
      <w:r>
        <w:t xml:space="preserve">(3) § 21 Absatz 2 Satz 3, Absatz 3 und 4 gilt entsprechend.</w:t>
      </w:r>
    </w:p>
    <w:p>
      <w:r>
        <w:t xml:space="preserve">(4) Soweit hauptberufliche Tätigkeiten bereits auf den Vorbereitungsdienst angerechnet worden sind, dürfen sie bei der Einstellung in ein Beförderungsamt nicht einbezogen werden.</w:t>
      </w:r>
    </w:p>
    <w:p>
      <w:r>
        <w:rPr>
          <w:color w:val="555555"/>
          <w:sz w:val="17"/>
        </w:rPr>
        <w:t xml:space="preserve">Zitiervorschlag: § 34 BLV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https://recht.nulegal.eu/gesetze/BLV%202026/34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