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BLV 2026 — Besondere Qualifikationen und Zeiten für die Zulassung zu einzelnen Verwendungsbereichen</w:t>
      </w:r>
    </w:p>
    <w:p>
      <w:r>
        <w:rPr>
          <w:color w:val="555555"/>
          <w:sz w:val="18"/>
        </w:rPr>
        <w:t xml:space="preserve">Bundeslaufbahnverordnung</w:t>
      </w:r>
    </w:p>
    <w:p>
      <w:r>
        <w:rPr>
          <w:color w:val="555555"/>
          <w:sz w:val="18"/>
        </w:rPr>
        <w:t xml:space="preserve">Stand: 17.03.2026 (konsolidierte Textfassung, kein amtliches Inkrafttretensdatum)</w:t>
      </w:r>
    </w:p>
    <w:p>
      <w:r>
        <w:t xml:space="preserve">(1) Abweichend von § 17 Absatz 4 Nummer 2 Buchstabe c des Bundesbeamtengesetzes kann zur Laufbahn des gehobenen nichttechnischen Verwaltungsdienstes für eine Verwendung in der Aufsicht über die Flugsicherung auch zugelassen werden, wer anstelle eines mit einem Bachelor abgeschlossenen Hochschulstudiums eine abgeschlossene Ausbildung zur Fluglotsin oder zum Fluglotsen an der Flugsicherungsakademie der DFS Deutsche Flugsicherung GmbH besitzt.</w:t>
      </w:r>
    </w:p>
    <w:p>
      <w:r>
        <w:t xml:space="preserve">(2) Abweichend von § 17 Absatz 4 Nummer 1 und 2 Buchstabe c des Bundesbeamtengesetzes kann anstelle eines mit einem Bachelor abgeschlossenen Hochschulstudiums auch eine Lizenz für Berufspilotinnen oder -piloten nach der Verordnung (EU) Nr. 1178/2011 für die Zulassung zur Laufbahn des gehobenen technischen Verwaltungsdienstes für eine der folgenden Verwendungen berücksichtigt werden:</w:t>
      </w:r>
    </w:p>
    <w:p>
      <w:pPr>
        <w:ind w:left="420"/>
      </w:pPr>
      <w:r>
        <w:t xml:space="preserve">1. Verwendung in der Überwachung der Flugtüchtigkeit von Luftfahrzeugen,</w:t>
      </w:r>
    </w:p>
    <w:p>
      <w:pPr>
        <w:ind w:left="420"/>
      </w:pPr>
      <w:r>
        <w:t xml:space="preserve">2. Verwendung in der Überwachung von Luftfahrtunternehmen, von Organisationen, die fliegendes Personal ausbilden, und von Unternehmen, die Luftfahrtgerät entwickeln, herstellen, instand halten oder ändern, sowie</w:t>
      </w:r>
    </w:p>
    <w:p>
      <w:pPr>
        <w:ind w:left="420"/>
      </w:pPr>
      <w:r>
        <w:t xml:space="preserve">3. Verwendung in der Flugunfalluntersuchung.</w:t>
      </w:r>
    </w:p>
    <w:p>
      <w:r>
        <w:t xml:space="preserve">(3) Abweichend von § 17 Absatz 4 des Bundesbeamtengesetzes können Personen, die während eines berufsmäßigen Wehrdienstes bei einem anderen Dienstherrn eine Aufstiegsausbildung abgeschlossen haben, die inhaltlich den Anforderungen einer fachspezifischen Qualifizierung nach § 46 für den Aufstieg in den gehobenen technischen Verwaltungsdienst im Verwendungsbereich Brandschutz entspricht, im Verwendungsbereich Brandschutz zur Laufbahn des gehobenen technischen Verwaltungsdienstes zugelassen werden.</w:t>
      </w:r>
    </w:p>
    <w:p>
      <w:r>
        <w:t xml:space="preserve">(4) Abweichend von § 17 Absatz 5 des Bundesbeamtengesetzes können Personen, die bei einem anderen Dienstherrn einen Ausbildungsgang abgeschlossen haben, der inhaltlich den Anforderungen des Vorbereitungsdienstes höherer technischer Verwaltungsdienst in der Bundeswehr im Verwendungsbereich Brandschutz oder einer fachspezifischen Qualifizierung nach § 46 für den Aufstieg in den höheren technischen Verwaltungsdienst im Verwendungsbereich Brandschutz entspricht, im Verwendungsbereich Brandschutz zur Laufbahn des höheren technischen Verwaltungsdienstes zugelassen werden.</w:t>
      </w:r>
    </w:p>
    <w:p>
      <w:r>
        <w:t xml:space="preserve">(5) Abweichend von § 17 Absatz 5 Nummer 1 Buchstabe a des Bundesbeamtengesetzes kann anstelle eines mit einem Master abgeschlossenen Hochschulstudiums auch eine Lizenz für Verkehrspilotinnen oder -piloten nach der Verordnung (EU) Nr. 1178/2011 für die Zulassung zur Laufbahn des höheren technischen Verwaltungsdienstes für eine der folgenden Verwendungen berücksichtigt werden:</w:t>
      </w:r>
    </w:p>
    <w:p>
      <w:pPr>
        <w:ind w:left="420"/>
      </w:pPr>
      <w:r>
        <w:t xml:space="preserve">1. Verwendung in der Überwachung der Flugtüchtigkeit von Luftfahrzeugen,</w:t>
      </w:r>
    </w:p>
    <w:p>
      <w:pPr>
        <w:ind w:left="420"/>
      </w:pPr>
      <w:r>
        <w:t xml:space="preserve">2. Verwendung in der Überwachung von Luftfahrtunternehmen, von Organisationen, die fliegendes Personal ausbilden, und von Unternehmen, die Luftfahrtgerät entwickeln, herstellen, instand halten oder ändern, sowie</w:t>
      </w:r>
    </w:p>
    <w:p>
      <w:pPr>
        <w:ind w:left="420"/>
      </w:pPr>
      <w:r>
        <w:t xml:space="preserve">3. Verwendung in der Flugunfalluntersuchung.</w:t>
      </w:r>
    </w:p>
    <w:p>
      <w:r>
        <w:t xml:space="preserve">(6) Abweichend von § 17 Absatz 4 Nummer 2 Buchstabe c und Absatz 5 Nummer 2 Buchstabe c des Bundesbeamtengesetzes können anstelle von Zeiten einer hauptberuflichen Tätigkeit folgende Zeiten anerkannt werden:</w:t>
      </w:r>
    </w:p>
    <w:p>
      <w:pPr>
        <w:ind w:left="420"/>
      </w:pPr>
      <w:r>
        <w:t xml:space="preserve">1. bei Ärztinnen und Ärzten:</w:t>
      </w:r>
    </w:p>
    <w:p>
      <w:pPr>
        <w:ind w:left="780"/>
      </w:pPr>
      <w:r>
        <w:t xml:space="preserve">a) Zeiten einer als Pflicht- oder Medizinalassistentin oder als Pflicht- oder Medizinalassistent und als Ärztin oder Arzt im Praktikum ausgeübten Tätigkeit und</w:t>
      </w:r>
    </w:p>
    <w:p>
      <w:pPr>
        <w:ind w:left="780"/>
      </w:pPr>
      <w:r>
        <w:t xml:space="preserve">b) Zeiten einer Weiterbildung zur Tropenmedizinerin oder zum Tropenmediziner,</w:t>
      </w:r>
    </w:p>
    <w:p>
      <w:pPr>
        <w:ind w:left="420"/>
      </w:pPr>
      <w:r>
        <w:t xml:space="preserve">2. bei Lebensmittelchemikerinnen und Lebensmittelchemikern: Zeiten der zusätzlich vorgeschriebenen Ausbildung und</w:t>
      </w:r>
    </w:p>
    <w:p>
      <w:pPr>
        <w:ind w:left="420"/>
      </w:pPr>
      <w:r>
        <w:t xml:space="preserve">3. bei Wissenschaftlerinnen und Wissenschaftlern: Zeiten einer Habilitation.</w:t>
      </w:r>
    </w:p>
    <w:p>
      <w:r>
        <w:t xml:space="preserve">(7) Abweichend von § 17 Absatz 5 des Bundesbeamtengesetzes können Beamtinnen und Beamte, die die Voraussetzungen des § 17 Absatz 4 des Bundesbeamtengesetzes erfüllen, zu Laufbahnen des höheren Dienstes für eine der folgenden Verwendungen zugelassen werden:</w:t>
      </w:r>
    </w:p>
    <w:p>
      <w:pPr>
        <w:ind w:left="420"/>
      </w:pPr>
      <w:r>
        <w:t xml:space="preserve">1. Verwendung im Schulaufsichtsdienst der Bundeswehrfachschulen bis zur Besoldungsgruppe A 15 der Bundesbesoldungsordnung A und</w:t>
      </w:r>
    </w:p>
    <w:p>
      <w:pPr>
        <w:ind w:left="420"/>
      </w:pPr>
      <w:r>
        <w:t xml:space="preserve">2. Verwendung als Lehrerinnen und Lehrer an Bundeswehrfachschulen bis zur Besoldungsgruppe A 14 der Bundesbesoldungsordnung A.</w:t>
      </w:r>
    </w:p>
    <w:p>
      <w:r>
        <w:rPr>
          <w:color w:val="555555"/>
          <w:sz w:val="17"/>
        </w:rPr>
        <w:t xml:space="preserve">Zitiervorschlag: § 32 BLV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https://recht.nulegal.eu/gesetze/BLV%202026/32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