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BLV 2026 — Besondere Qualifikationen für die Zulassung zu Laufbahnen des mittleren Dienstes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(1) Abweichend von § 17 Absatz 3 Nummer 1 Buchstabe a des Bundesbeamtengesetzes können für die Zulassung zu Laufbahnen des mittleren Dienstes anstelle eines Abschlusses einer Realschule ein Hauptschulabschluss oder ein als gleichwertig anerkannter Bildungsstand berücksichtigt werden.</w:t>
      </w:r>
    </w:p>
    <w:p>
      <w:r>
        <w:t xml:space="preserve">(2) Abweichend von § 17 Absatz 3 Nummer 2 Buchstabe c des Bundesbeamtengesetzes können für die Zulassung zu Laufbahnen des mittleren Dienstes anstelle einer abgeschlossenen Berufsausbildung folgende Abschlüsse zugelassen werden:</w:t>
      </w:r>
    </w:p>
    <w:p>
      <w:pPr>
        <w:ind w:left="420"/>
      </w:pPr>
      <w:r>
        <w:t xml:space="preserve">1. Abschluss der höherqualifizierenden Berufsbildung oder</w:t>
      </w:r>
    </w:p>
    <w:p>
      <w:pPr>
        <w:ind w:left="420"/>
      </w:pPr>
      <w:r>
        <w:t xml:space="preserve">2. Abschluss eines Feststellungsverfahrens mit dem Ergebnis der vollständigen Vergleichbarkeit der individuellen beruflichen Handlungsfähigkeit mit der für die Ausübung eines anerkannten Ausbildungsberufs erforderlichen Handlungsfähigkeit nach § 1 Absatz 6 des Berufsbildungsgesetzes oder nach § 41b Absatz 1 der Handwerksordnung.</w:t>
      </w:r>
    </w:p>
    <w:p>
      <w:r>
        <w:t xml:space="preserve">(3) Beamtinnen und Beamte, die bei einem anderen Dienstherrn eine Aufstiegsausbildung abgeschlossen haben, die inhaltlich den Anforderungen einer fachspezifischen Qualifizierung für den Aufstieg in eine Laufbahn des mittleren Dienstes nach § 46 entspricht, können abweichend von § 17 Absatz 3 Nummer 2 Buchstabe b des Bundesbeamtengesetzes zu Laufbahnen des mittleren Dienstes zugelassen werden.</w:t>
      </w:r>
    </w:p>
    <w:p>
      <w:r>
        <w:rPr>
          <w:color w:val="555555"/>
          <w:sz w:val="17"/>
        </w:rPr>
        <w:t xml:space="preserve">Zitiervorschlag: § 28 BLV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