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BLV 2026 — Mittlerer Dienst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Die Anerkennung der Befähigung für eine Laufbahn des mittleren Dienstes setzt neben den Bildungsvoraussetzungen Folgendes voraus:</w:t>
      </w:r>
    </w:p>
    <w:p>
      <w:pPr>
        <w:ind w:left="420"/>
      </w:pPr>
      <w:r>
        <w:t xml:space="preserve">1. eine abgeschlossene Berufsausbildung, die inhaltlich den Anforderungen eines Vorbereitungsdienstes entspricht, oder</w:t>
      </w:r>
    </w:p>
    <w:p>
      <w:pPr>
        <w:ind w:left="420"/>
      </w:pPr>
      <w:r>
        <w:t xml:space="preserve">2. eine abgeschlossene Berufsausbildung und eine hauptberufliche Tätigkeit von mindestens einem Jahr und sechs Monaten.</w:t>
      </w:r>
    </w:p>
    <w:p>
      <w:r>
        <w:rPr>
          <w:color w:val="555555"/>
          <w:sz w:val="17"/>
        </w:rPr>
        <w:t xml:space="preserve">Zitiervorschlag: § 23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